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95A" w:rsidRPr="00AA7A9D" w:rsidRDefault="0096595A" w:rsidP="002F001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bookmarkStart w:id="0" w:name="_GoBack"/>
      <w:bookmarkEnd w:id="0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ТЕХНІЧНЕ ЗАВДАННЯ</w:t>
      </w:r>
    </w:p>
    <w:p w:rsidR="00542D5E" w:rsidRDefault="00BB0C59" w:rsidP="00AA7A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AA7A9D">
        <w:rPr>
          <w:rFonts w:ascii="Arial" w:hAnsi="Arial" w:cs="Arial"/>
          <w:b/>
          <w:bCs/>
          <w:sz w:val="24"/>
          <w:szCs w:val="24"/>
          <w:lang w:val="uk-UA"/>
        </w:rPr>
        <w:t>щ</w:t>
      </w:r>
      <w:r w:rsidR="0096595A" w:rsidRPr="00AA7A9D">
        <w:rPr>
          <w:rFonts w:ascii="Arial" w:hAnsi="Arial" w:cs="Arial"/>
          <w:b/>
          <w:bCs/>
          <w:sz w:val="24"/>
          <w:szCs w:val="24"/>
          <w:lang w:val="uk-UA"/>
        </w:rPr>
        <w:t>одо</w:t>
      </w:r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надання послуг з організації та проведення </w:t>
      </w:r>
      <w:r w:rsidR="00AA7A9D" w:rsidRPr="00AA7A9D">
        <w:rPr>
          <w:rFonts w:ascii="Arial" w:hAnsi="Arial" w:cs="Arial"/>
          <w:b/>
          <w:bCs/>
          <w:sz w:val="24"/>
          <w:szCs w:val="24"/>
          <w:lang w:val="uk-UA"/>
        </w:rPr>
        <w:t>фінальної ярмарки знань</w:t>
      </w:r>
      <w:r w:rsidR="00AA7A9D" w:rsidRPr="00AA7A9D">
        <w:rPr>
          <w:rFonts w:ascii="Arial" w:hAnsi="Arial" w:cs="Arial"/>
          <w:b/>
          <w:sz w:val="24"/>
          <w:szCs w:val="24"/>
          <w:lang w:val="uk-UA"/>
        </w:rPr>
        <w:t xml:space="preserve"> для ключових </w:t>
      </w:r>
      <w:r w:rsidR="007A0D42">
        <w:rPr>
          <w:rFonts w:ascii="Arial" w:hAnsi="Arial" w:cs="Arial"/>
          <w:b/>
          <w:sz w:val="24"/>
          <w:szCs w:val="24"/>
          <w:lang w:val="uk-UA"/>
        </w:rPr>
        <w:t xml:space="preserve">надавачів </w:t>
      </w:r>
      <w:r w:rsidR="00AA7A9D" w:rsidRPr="00AA7A9D">
        <w:rPr>
          <w:rFonts w:ascii="Arial" w:hAnsi="Arial" w:cs="Arial"/>
          <w:b/>
          <w:sz w:val="24"/>
          <w:szCs w:val="24"/>
          <w:lang w:val="uk-UA"/>
        </w:rPr>
        <w:t xml:space="preserve">освітніх послуг та молодіжних лідерів </w:t>
      </w:r>
    </w:p>
    <w:p w:rsidR="00AA7A9D" w:rsidRPr="00AA7A9D" w:rsidRDefault="00AA7A9D" w:rsidP="00AA7A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AA7A9D">
        <w:rPr>
          <w:rFonts w:ascii="Arial" w:hAnsi="Arial" w:cs="Arial"/>
          <w:b/>
          <w:sz w:val="24"/>
          <w:szCs w:val="24"/>
          <w:lang w:val="uk-UA"/>
        </w:rPr>
        <w:t>(пакет конференц-сервісу все включено)</w:t>
      </w:r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</w:p>
    <w:p w:rsidR="00AA7A9D" w:rsidRPr="00AA7A9D" w:rsidRDefault="00AA7A9D" w:rsidP="002F001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Final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Knowledge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Fair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for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the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key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providers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of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educational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services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and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youth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leaders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(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all-inclusive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conference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service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proofErr w:type="spellStart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package</w:t>
      </w:r>
      <w:proofErr w:type="spellEnd"/>
      <w:r w:rsidRPr="00AA7A9D">
        <w:rPr>
          <w:rFonts w:ascii="Arial" w:hAnsi="Arial" w:cs="Arial"/>
          <w:b/>
          <w:bCs/>
          <w:sz w:val="24"/>
          <w:szCs w:val="24"/>
          <w:lang w:val="uk-UA"/>
        </w:rPr>
        <w:t>)</w:t>
      </w:r>
    </w:p>
    <w:p w:rsidR="00AA7A9D" w:rsidRDefault="00AA7A9D" w:rsidP="002F001B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96595A" w:rsidRPr="00BA1911" w:rsidRDefault="0096595A" w:rsidP="00AA7A9D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96595A" w:rsidRPr="00BA1911" w:rsidRDefault="0096595A" w:rsidP="0096595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BA1911">
        <w:rPr>
          <w:rFonts w:ascii="Arial" w:hAnsi="Arial" w:cs="Arial"/>
          <w:b/>
          <w:bCs/>
          <w:sz w:val="24"/>
          <w:szCs w:val="24"/>
          <w:lang w:val="uk-UA"/>
        </w:rPr>
        <w:t xml:space="preserve">Вступ </w:t>
      </w:r>
    </w:p>
    <w:p w:rsidR="007A0D42" w:rsidRPr="00612A0A" w:rsidRDefault="0096595A" w:rsidP="007A0D42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BA1911">
        <w:rPr>
          <w:rFonts w:ascii="Arial" w:hAnsi="Arial" w:cs="Arial"/>
          <w:sz w:val="24"/>
          <w:szCs w:val="24"/>
          <w:lang w:val="uk-UA"/>
        </w:rPr>
        <w:t>Громадська організація «Жінки і діти України – наше майбутнє»</w:t>
      </w:r>
      <w:r w:rsidRPr="00BA191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як Партнер Програми ЮНІСЕФ “</w:t>
      </w:r>
      <w:r w:rsidRPr="00BA1911">
        <w:rPr>
          <w:rFonts w:ascii="Arial" w:eastAsia="SimSun" w:hAnsi="Arial" w:cs="Arial"/>
          <w:bCs/>
          <w:sz w:val="24"/>
          <w:szCs w:val="24"/>
          <w:lang w:val="uk-UA" w:eastAsia="zh-CN"/>
        </w:rPr>
        <w:t>Надання гуманітарної допомоги/відновлення водопостачання у містах, селищах, об’єднаних громадах, громадах на підтримку дітей, батьків та опікунів</w:t>
      </w:r>
      <w:r w:rsidRPr="00BA1911">
        <w:rPr>
          <w:rFonts w:ascii="Arial" w:eastAsia="Times New Roman" w:hAnsi="Arial" w:cs="Arial"/>
          <w:sz w:val="24"/>
          <w:szCs w:val="24"/>
          <w:lang w:val="uk-UA" w:eastAsia="ru-RU"/>
        </w:rPr>
        <w:t>”</w:t>
      </w:r>
      <w:r w:rsidRPr="00BA1911">
        <w:rPr>
          <w:rFonts w:ascii="Arial" w:hAnsi="Arial" w:cs="Arial"/>
          <w:sz w:val="24"/>
          <w:szCs w:val="24"/>
          <w:lang w:val="uk-UA"/>
        </w:rPr>
        <w:t xml:space="preserve"> («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Delivery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of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Humanitarian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>/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Recovery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 WASH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response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in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cities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towns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amalgamated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communi</w:t>
      </w:r>
      <w:r w:rsidRPr="00612A0A">
        <w:rPr>
          <w:rFonts w:ascii="Arial" w:hAnsi="Arial" w:cs="Arial"/>
          <w:sz w:val="24"/>
          <w:szCs w:val="24"/>
          <w:lang w:val="uk-UA"/>
        </w:rPr>
        <w:t>ties</w:t>
      </w:r>
      <w:proofErr w:type="spellEnd"/>
      <w:r w:rsidRPr="00612A0A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612A0A">
        <w:rPr>
          <w:rFonts w:ascii="Arial" w:hAnsi="Arial" w:cs="Arial"/>
          <w:sz w:val="24"/>
          <w:szCs w:val="24"/>
          <w:lang w:val="uk-UA"/>
        </w:rPr>
        <w:t>hromadas</w:t>
      </w:r>
      <w:proofErr w:type="spellEnd"/>
      <w:r w:rsidRPr="00612A0A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612A0A">
        <w:rPr>
          <w:rFonts w:ascii="Arial" w:hAnsi="Arial" w:cs="Arial"/>
          <w:sz w:val="24"/>
          <w:szCs w:val="24"/>
          <w:lang w:val="uk-UA"/>
        </w:rPr>
        <w:t>in</w:t>
      </w:r>
      <w:proofErr w:type="spellEnd"/>
      <w:r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A0A">
        <w:rPr>
          <w:rFonts w:ascii="Arial" w:hAnsi="Arial" w:cs="Arial"/>
          <w:sz w:val="24"/>
          <w:szCs w:val="24"/>
          <w:lang w:val="uk-UA"/>
        </w:rPr>
        <w:t>support</w:t>
      </w:r>
      <w:proofErr w:type="spellEnd"/>
      <w:r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A0A">
        <w:rPr>
          <w:rFonts w:ascii="Arial" w:hAnsi="Arial" w:cs="Arial"/>
          <w:sz w:val="24"/>
          <w:szCs w:val="24"/>
          <w:lang w:val="uk-UA"/>
        </w:rPr>
        <w:t>to</w:t>
      </w:r>
      <w:proofErr w:type="spellEnd"/>
      <w:r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A0A">
        <w:rPr>
          <w:rFonts w:ascii="Arial" w:hAnsi="Arial" w:cs="Arial"/>
          <w:sz w:val="24"/>
          <w:szCs w:val="24"/>
          <w:lang w:val="uk-UA"/>
        </w:rPr>
        <w:t>children</w:t>
      </w:r>
      <w:proofErr w:type="spellEnd"/>
      <w:r w:rsidRPr="00612A0A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612A0A">
        <w:rPr>
          <w:rFonts w:ascii="Arial" w:hAnsi="Arial" w:cs="Arial"/>
          <w:sz w:val="24"/>
          <w:szCs w:val="24"/>
          <w:lang w:val="uk-UA"/>
        </w:rPr>
        <w:t>parents</w:t>
      </w:r>
      <w:proofErr w:type="spellEnd"/>
      <w:r w:rsidRPr="00612A0A">
        <w:rPr>
          <w:rFonts w:ascii="Arial" w:hAnsi="Arial" w:cs="Arial"/>
          <w:sz w:val="24"/>
          <w:szCs w:val="24"/>
          <w:lang w:val="uk-UA"/>
        </w:rPr>
        <w:t xml:space="preserve">, </w:t>
      </w:r>
      <w:proofErr w:type="spellStart"/>
      <w:r w:rsidRPr="00612A0A">
        <w:rPr>
          <w:rFonts w:ascii="Arial" w:hAnsi="Arial" w:cs="Arial"/>
          <w:sz w:val="24"/>
          <w:szCs w:val="24"/>
          <w:lang w:val="uk-UA"/>
        </w:rPr>
        <w:t>and</w:t>
      </w:r>
      <w:proofErr w:type="spellEnd"/>
      <w:r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12A0A">
        <w:rPr>
          <w:rFonts w:ascii="Arial" w:hAnsi="Arial" w:cs="Arial"/>
          <w:sz w:val="24"/>
          <w:szCs w:val="24"/>
          <w:lang w:val="uk-UA"/>
        </w:rPr>
        <w:t>caregivers</w:t>
      </w:r>
      <w:proofErr w:type="spellEnd"/>
      <w:r w:rsidRPr="00612A0A">
        <w:rPr>
          <w:rFonts w:ascii="Arial" w:hAnsi="Arial" w:cs="Arial"/>
          <w:sz w:val="24"/>
          <w:szCs w:val="24"/>
          <w:lang w:val="uk-UA"/>
        </w:rPr>
        <w:t xml:space="preserve">») </w:t>
      </w:r>
      <w:r w:rsidRPr="00612A0A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оголошує конкурс </w:t>
      </w:r>
      <w:r w:rsidR="00612A0A" w:rsidRPr="00612A0A">
        <w:rPr>
          <w:rFonts w:ascii="Arial" w:hAnsi="Arial" w:cs="Arial"/>
          <w:color w:val="000000"/>
          <w:sz w:val="24"/>
          <w:szCs w:val="24"/>
          <w:shd w:val="clear" w:color="auto" w:fill="FFFFFF"/>
          <w:lang w:val="uk-UA"/>
        </w:rPr>
        <w:t xml:space="preserve">на </w:t>
      </w:r>
      <w:r w:rsidR="007A0D42" w:rsidRPr="00612A0A">
        <w:rPr>
          <w:rFonts w:ascii="Arial" w:hAnsi="Arial" w:cs="Arial"/>
          <w:sz w:val="24"/>
          <w:szCs w:val="24"/>
          <w:lang w:val="uk-UA"/>
        </w:rPr>
        <w:t xml:space="preserve">надання послуг з організації та проведення фінальної ярмарки знань для ключових провайдерів освітніх послуг та молодіжних лідерів з питань </w:t>
      </w:r>
      <w:r w:rsidR="00612A0A" w:rsidRPr="00612A0A">
        <w:rPr>
          <w:rFonts w:ascii="Arial" w:hAnsi="Arial" w:cs="Arial"/>
          <w:sz w:val="24"/>
          <w:szCs w:val="24"/>
          <w:lang w:val="uk-UA"/>
        </w:rPr>
        <w:t>менструальної</w:t>
      </w:r>
      <w:r w:rsidR="007A0D42" w:rsidRPr="00612A0A">
        <w:rPr>
          <w:rFonts w:ascii="Arial" w:hAnsi="Arial" w:cs="Arial"/>
          <w:sz w:val="24"/>
          <w:szCs w:val="24"/>
          <w:lang w:val="uk-UA"/>
        </w:rPr>
        <w:t xml:space="preserve"> гігієни та безпечних практик (пакет конференц-сервісу все включено).</w:t>
      </w:r>
    </w:p>
    <w:p w:rsidR="00612A0A" w:rsidRDefault="00612A0A" w:rsidP="0096595A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6595A" w:rsidRPr="00BA1911" w:rsidRDefault="0096595A" w:rsidP="0096595A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BA1911">
        <w:rPr>
          <w:rFonts w:ascii="Arial" w:hAnsi="Arial" w:cs="Arial"/>
          <w:sz w:val="24"/>
          <w:szCs w:val="24"/>
          <w:lang w:val="uk-UA"/>
        </w:rPr>
        <w:t xml:space="preserve">Програма спрямована на підвищення доступу до безпечної питної води, відповідних санітарно-гігієнічних засобів, покращення практики гігієни у містах, об’єднаних громадах, громадах, зокрема шляхом надання стійких до клімату та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гендерно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 чутливих послуг щодо води, гігієни, санітарії  (WASH).</w:t>
      </w:r>
    </w:p>
    <w:p w:rsidR="0096595A" w:rsidRDefault="0096595A" w:rsidP="0096595A">
      <w:pPr>
        <w:spacing w:line="240" w:lineRule="auto"/>
        <w:jc w:val="both"/>
        <w:rPr>
          <w:rFonts w:ascii="Arial" w:eastAsia="SimSun" w:hAnsi="Arial" w:cs="Arial"/>
          <w:bCs/>
          <w:sz w:val="24"/>
          <w:szCs w:val="24"/>
          <w:lang w:val="uk-UA" w:eastAsia="zh-CN"/>
        </w:rPr>
      </w:pPr>
      <w:r w:rsidRPr="00BA1911">
        <w:rPr>
          <w:rFonts w:ascii="Arial" w:hAnsi="Arial" w:cs="Arial"/>
          <w:sz w:val="24"/>
          <w:szCs w:val="24"/>
          <w:lang w:val="uk-UA"/>
        </w:rPr>
        <w:t xml:space="preserve">Одним із завдань програми є </w:t>
      </w:r>
      <w:bookmarkStart w:id="1" w:name="_Hlk176518521"/>
      <w:r w:rsidRPr="00BA1911">
        <w:rPr>
          <w:rFonts w:ascii="Arial" w:hAnsi="Arial" w:cs="Arial"/>
          <w:sz w:val="24"/>
          <w:szCs w:val="24"/>
          <w:lang w:val="uk-UA"/>
        </w:rPr>
        <w:t>впровадження принципів та стандартів щодо менструальної гігієни на рівні громад,</w:t>
      </w:r>
      <w:bookmarkEnd w:id="1"/>
      <w:r w:rsidRPr="00BA1911">
        <w:rPr>
          <w:rFonts w:ascii="Arial" w:hAnsi="Arial" w:cs="Arial"/>
          <w:sz w:val="24"/>
          <w:szCs w:val="24"/>
          <w:lang w:val="uk-UA"/>
        </w:rPr>
        <w:t xml:space="preserve"> </w:t>
      </w:r>
      <w:r w:rsidRPr="00BA1911"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розбудова спроможності надавачів освітніх послуг як в формальному, так і неформальному освітньому просторі, </w:t>
      </w:r>
      <w:r w:rsidR="00AA7A9D"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молодіжних лідерів, </w:t>
      </w:r>
      <w:r w:rsidRPr="00BA1911">
        <w:rPr>
          <w:rFonts w:ascii="Arial" w:eastAsia="SimSun" w:hAnsi="Arial" w:cs="Arial"/>
          <w:bCs/>
          <w:sz w:val="24"/>
          <w:szCs w:val="24"/>
          <w:lang w:val="uk-UA" w:eastAsia="zh-CN"/>
        </w:rPr>
        <w:t>дітей-підлітків з питань менструальної гігієни.</w:t>
      </w:r>
    </w:p>
    <w:p w:rsidR="007A0D42" w:rsidRDefault="007A0D42" w:rsidP="0096595A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eastAsia="SimSun" w:hAnsi="Arial" w:cs="Arial"/>
          <w:bCs/>
          <w:sz w:val="24"/>
          <w:szCs w:val="24"/>
          <w:lang w:val="uk-UA" w:eastAsia="zh-CN"/>
        </w:rPr>
        <w:t>В рамках реалізації Програми в пілотних громадах 3-ох областей з січня по червень 2024 року було проведено  масштабну інформаційно-просвітницьку кампанію та заходи з розбудови спроможності надавачів освітніх послуг в формальному та неформальному середовищі</w:t>
      </w:r>
      <w:r w:rsidR="00AA13E9" w:rsidRPr="00AA13E9">
        <w:rPr>
          <w:rFonts w:ascii="Arial" w:eastAsia="SimSun" w:hAnsi="Arial" w:cs="Arial"/>
          <w:bCs/>
          <w:sz w:val="24"/>
          <w:szCs w:val="24"/>
          <w:lang w:val="uk-UA" w:eastAsia="zh-CN"/>
        </w:rPr>
        <w:t>;</w:t>
      </w:r>
      <w:r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 тренінгову кампанію для дітей-підлітків з питань менструальної гігієни, розроблено та апробовано в рамках тренінгових та просвітницьких заходів тренінговий пакет «</w:t>
      </w:r>
      <w:r w:rsidR="00AA13E9">
        <w:rPr>
          <w:rFonts w:ascii="Arial" w:eastAsia="SimSun" w:hAnsi="Arial" w:cs="Arial"/>
          <w:bCs/>
          <w:sz w:val="24"/>
          <w:szCs w:val="24"/>
          <w:lang w:val="uk-UA" w:eastAsia="zh-CN"/>
        </w:rPr>
        <w:t>Здоров’я</w:t>
      </w:r>
      <w:r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 та Комфорт»</w:t>
      </w:r>
      <w:r w:rsidRPr="007A0D42">
        <w:rPr>
          <w:rFonts w:ascii="Arial" w:hAnsi="Arial" w:cs="Arial"/>
          <w:sz w:val="24"/>
          <w:szCs w:val="24"/>
          <w:lang w:val="uk-UA"/>
        </w:rPr>
        <w:t xml:space="preserve"> </w:t>
      </w:r>
      <w:r w:rsidRPr="00BA1911">
        <w:rPr>
          <w:rFonts w:ascii="Arial" w:hAnsi="Arial" w:cs="Arial"/>
          <w:sz w:val="24"/>
          <w:szCs w:val="24"/>
          <w:lang w:val="uk-UA"/>
        </w:rPr>
        <w:t>д</w:t>
      </w:r>
      <w:r w:rsidR="00AA13E9">
        <w:rPr>
          <w:rFonts w:ascii="Arial" w:hAnsi="Arial" w:cs="Arial"/>
          <w:sz w:val="24"/>
          <w:szCs w:val="24"/>
          <w:lang w:val="uk-UA"/>
        </w:rPr>
        <w:t>ля</w:t>
      </w:r>
      <w:r w:rsidRPr="00BA1911">
        <w:rPr>
          <w:rFonts w:ascii="Arial" w:hAnsi="Arial" w:cs="Arial"/>
          <w:sz w:val="24"/>
          <w:szCs w:val="24"/>
          <w:lang w:val="uk-UA"/>
        </w:rPr>
        <w:t xml:space="preserve"> дітей-підлітків  щодо особистих гігієнічних потреб та практик гігієни під час менструації</w:t>
      </w:r>
      <w:r w:rsidR="00AA13E9">
        <w:rPr>
          <w:rFonts w:ascii="Arial" w:hAnsi="Arial" w:cs="Arial"/>
          <w:sz w:val="24"/>
          <w:szCs w:val="24"/>
          <w:lang w:val="uk-UA"/>
        </w:rPr>
        <w:t>.</w:t>
      </w:r>
    </w:p>
    <w:p w:rsidR="00AA13E9" w:rsidRPr="00CA1C3B" w:rsidRDefault="00AA13E9" w:rsidP="0096595A">
      <w:pPr>
        <w:spacing w:line="240" w:lineRule="auto"/>
        <w:jc w:val="both"/>
        <w:rPr>
          <w:rFonts w:ascii="Arial" w:eastAsia="SimSun" w:hAnsi="Arial" w:cs="Arial"/>
          <w:sz w:val="24"/>
          <w:szCs w:val="24"/>
          <w:lang w:val="uk-UA" w:eastAsia="zh-CN"/>
        </w:rPr>
      </w:pPr>
      <w:r w:rsidRPr="00CA1C3B">
        <w:rPr>
          <w:rFonts w:ascii="Arial" w:hAnsi="Arial" w:cs="Arial"/>
          <w:sz w:val="24"/>
          <w:szCs w:val="24"/>
          <w:lang w:val="uk-UA"/>
        </w:rPr>
        <w:t>Фінальна ярмарка знань має стати платформою для обміну знаннями та досвідом для ключових надавачів освітніх послуг та молодіжних лідерів</w:t>
      </w:r>
      <w:r w:rsidR="00CA1C3B">
        <w:rPr>
          <w:rFonts w:ascii="Arial" w:hAnsi="Arial" w:cs="Arial"/>
          <w:sz w:val="24"/>
          <w:szCs w:val="24"/>
          <w:lang w:val="uk-UA"/>
        </w:rPr>
        <w:t xml:space="preserve"> з пілотних громад 3-ох областей щодо </w:t>
      </w:r>
      <w:r w:rsidR="00CA1C3B" w:rsidRPr="00BA1911">
        <w:rPr>
          <w:rFonts w:ascii="Arial" w:hAnsi="Arial" w:cs="Arial"/>
          <w:sz w:val="24"/>
          <w:szCs w:val="24"/>
          <w:lang w:val="uk-UA"/>
        </w:rPr>
        <w:t>впровадження принципів та стандартів щодо менструальної гігієни</w:t>
      </w:r>
      <w:r w:rsidR="00CA1C3B">
        <w:rPr>
          <w:rFonts w:ascii="Arial" w:hAnsi="Arial" w:cs="Arial"/>
          <w:sz w:val="24"/>
          <w:szCs w:val="24"/>
          <w:lang w:val="uk-UA"/>
        </w:rPr>
        <w:t>, результатів запровадження тренінг</w:t>
      </w:r>
      <w:r w:rsidR="00542D5E">
        <w:rPr>
          <w:rFonts w:ascii="Arial" w:hAnsi="Arial" w:cs="Arial"/>
          <w:sz w:val="24"/>
          <w:szCs w:val="24"/>
          <w:lang w:val="uk-UA"/>
        </w:rPr>
        <w:t>ового пакету «Здоров’я та Комфорт</w:t>
      </w:r>
      <w:r w:rsidR="00CA1C3B">
        <w:rPr>
          <w:rFonts w:ascii="Arial" w:hAnsi="Arial" w:cs="Arial"/>
          <w:sz w:val="24"/>
          <w:szCs w:val="24"/>
          <w:lang w:val="uk-UA"/>
        </w:rPr>
        <w:t xml:space="preserve">», відзначення Міжнародного дня менструальної гігієни, розвитку Мережі </w:t>
      </w:r>
      <w:r w:rsidR="00CA1C3B">
        <w:rPr>
          <w:rFonts w:ascii="Arial" w:hAnsi="Arial" w:cs="Arial"/>
          <w:sz w:val="24"/>
          <w:szCs w:val="24"/>
        </w:rPr>
        <w:t>WASH</w:t>
      </w:r>
      <w:r w:rsidR="00CA1C3B">
        <w:rPr>
          <w:rFonts w:ascii="Arial" w:hAnsi="Arial" w:cs="Arial"/>
          <w:sz w:val="24"/>
          <w:szCs w:val="24"/>
          <w:lang w:val="uk-UA"/>
        </w:rPr>
        <w:t xml:space="preserve">, </w:t>
      </w:r>
      <w:r w:rsidR="00612A0A">
        <w:rPr>
          <w:rFonts w:ascii="Arial" w:hAnsi="Arial" w:cs="Arial"/>
          <w:sz w:val="24"/>
          <w:szCs w:val="24"/>
          <w:lang w:val="uk-UA"/>
        </w:rPr>
        <w:t>забезпечення</w:t>
      </w:r>
      <w:r w:rsidR="00CA1C3B">
        <w:rPr>
          <w:rFonts w:ascii="Arial" w:hAnsi="Arial" w:cs="Arial"/>
          <w:sz w:val="24"/>
          <w:szCs w:val="24"/>
          <w:lang w:val="uk-UA"/>
        </w:rPr>
        <w:t xml:space="preserve"> сталості та розвитку синергії та </w:t>
      </w:r>
      <w:proofErr w:type="spellStart"/>
      <w:r w:rsidR="00CA1C3B">
        <w:rPr>
          <w:rFonts w:ascii="Arial" w:hAnsi="Arial" w:cs="Arial"/>
          <w:sz w:val="24"/>
          <w:szCs w:val="24"/>
          <w:lang w:val="uk-UA"/>
        </w:rPr>
        <w:t>партнерств</w:t>
      </w:r>
      <w:proofErr w:type="spellEnd"/>
      <w:r w:rsidR="00CA1C3B">
        <w:rPr>
          <w:rFonts w:ascii="Arial" w:hAnsi="Arial" w:cs="Arial"/>
          <w:sz w:val="24"/>
          <w:szCs w:val="24"/>
          <w:lang w:val="uk-UA"/>
        </w:rPr>
        <w:t xml:space="preserve">. </w:t>
      </w:r>
    </w:p>
    <w:p w:rsidR="007322E4" w:rsidRPr="00D25445" w:rsidRDefault="007322E4" w:rsidP="007322E4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D25445">
        <w:rPr>
          <w:rFonts w:ascii="Arial" w:hAnsi="Arial" w:cs="Arial"/>
          <w:b/>
          <w:bCs/>
          <w:sz w:val="24"/>
          <w:szCs w:val="24"/>
          <w:lang w:val="uk-UA"/>
        </w:rPr>
        <w:t>Пілотні громади:</w:t>
      </w:r>
    </w:p>
    <w:p w:rsidR="00BA1911" w:rsidRPr="00BA1911" w:rsidRDefault="00BA1911" w:rsidP="00BA1911">
      <w:pPr>
        <w:suppressAutoHyphens/>
        <w:overflowPunct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  <w:r w:rsidRPr="00BA1911">
        <w:rPr>
          <w:rFonts w:ascii="Arial" w:eastAsia="Calibri" w:hAnsi="Arial" w:cs="Arial"/>
          <w:color w:val="000000"/>
          <w:sz w:val="24"/>
          <w:szCs w:val="24"/>
          <w:lang w:val="uk-UA"/>
        </w:rPr>
        <w:t xml:space="preserve">Київська область: </w:t>
      </w:r>
      <w:proofErr w:type="spellStart"/>
      <w:r w:rsidRPr="00BA1911">
        <w:rPr>
          <w:rFonts w:ascii="Arial" w:eastAsia="Calibri" w:hAnsi="Arial" w:cs="Arial"/>
          <w:color w:val="000000"/>
          <w:sz w:val="24"/>
          <w:szCs w:val="24"/>
          <w:lang w:val="uk-UA"/>
        </w:rPr>
        <w:t>Іванківська</w:t>
      </w:r>
      <w:proofErr w:type="spellEnd"/>
      <w:r w:rsidRPr="00BA1911">
        <w:rPr>
          <w:rFonts w:ascii="Arial" w:eastAsia="Calibri" w:hAnsi="Arial" w:cs="Arial"/>
          <w:color w:val="000000"/>
          <w:sz w:val="24"/>
          <w:szCs w:val="24"/>
          <w:lang w:val="uk-UA"/>
        </w:rPr>
        <w:t xml:space="preserve">, Бучанська, Бородянська, </w:t>
      </w:r>
      <w:proofErr w:type="spellStart"/>
      <w:r w:rsidRPr="00BA1911">
        <w:rPr>
          <w:rFonts w:ascii="Arial" w:eastAsia="Calibri" w:hAnsi="Arial" w:cs="Arial"/>
          <w:color w:val="000000"/>
          <w:sz w:val="24"/>
          <w:szCs w:val="24"/>
          <w:lang w:val="uk-UA"/>
        </w:rPr>
        <w:t>Гостомельська</w:t>
      </w:r>
      <w:proofErr w:type="spellEnd"/>
      <w:r w:rsidRPr="00BA1911">
        <w:rPr>
          <w:rFonts w:ascii="Arial" w:eastAsia="Calibri" w:hAnsi="Arial" w:cs="Arial"/>
          <w:color w:val="000000"/>
          <w:sz w:val="24"/>
          <w:szCs w:val="24"/>
          <w:lang w:val="uk-UA"/>
        </w:rPr>
        <w:t xml:space="preserve">, Ірпінська, </w:t>
      </w:r>
      <w:proofErr w:type="spellStart"/>
      <w:r w:rsidRPr="00BA1911">
        <w:rPr>
          <w:rFonts w:ascii="Arial" w:eastAsia="Calibri" w:hAnsi="Arial" w:cs="Arial"/>
          <w:color w:val="000000"/>
          <w:sz w:val="24"/>
          <w:szCs w:val="24"/>
          <w:lang w:val="uk-UA"/>
        </w:rPr>
        <w:t>Великодимерська</w:t>
      </w:r>
      <w:proofErr w:type="spellEnd"/>
      <w:r w:rsidRPr="00BA1911">
        <w:rPr>
          <w:rFonts w:ascii="Arial" w:eastAsia="Calibri" w:hAnsi="Arial" w:cs="Arial"/>
          <w:color w:val="000000"/>
          <w:sz w:val="24"/>
          <w:szCs w:val="24"/>
          <w:lang w:val="uk-UA"/>
        </w:rPr>
        <w:t>, Вишгородська, Броварська, Макарівська громади.</w:t>
      </w:r>
      <w:r w:rsidRPr="00BA1911">
        <w:rPr>
          <w:rFonts w:ascii="Arial" w:eastAsia="Calibri" w:hAnsi="Arial" w:cs="Arial"/>
          <w:sz w:val="24"/>
          <w:szCs w:val="24"/>
          <w:lang w:val="uk-UA"/>
        </w:rPr>
        <w:t xml:space="preserve"> </w:t>
      </w:r>
    </w:p>
    <w:p w:rsidR="00BA1911" w:rsidRPr="00BA1911" w:rsidRDefault="00BA1911" w:rsidP="00BA1911">
      <w:pPr>
        <w:suppressAutoHyphens/>
        <w:overflowPunct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</w:p>
    <w:p w:rsidR="00BA1911" w:rsidRPr="00BA1911" w:rsidRDefault="00BA1911" w:rsidP="00BA19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BA1911">
        <w:rPr>
          <w:rFonts w:ascii="Arial" w:hAnsi="Arial" w:cs="Arial"/>
          <w:sz w:val="24"/>
          <w:szCs w:val="24"/>
          <w:lang w:val="uk-UA"/>
        </w:rPr>
        <w:t>Житомирська область: Олевська, Новоград-Волинська (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Звягіль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), Коростенська,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Хорошівська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, Житомирська, </w:t>
      </w:r>
      <w:proofErr w:type="spellStart"/>
      <w:r w:rsidRPr="00BA1911">
        <w:rPr>
          <w:rFonts w:ascii="Arial" w:hAnsi="Arial" w:cs="Arial"/>
          <w:sz w:val="24"/>
          <w:szCs w:val="24"/>
          <w:lang w:val="uk-UA"/>
        </w:rPr>
        <w:t>Андрушівська</w:t>
      </w:r>
      <w:proofErr w:type="spellEnd"/>
      <w:r w:rsidRPr="00BA1911">
        <w:rPr>
          <w:rFonts w:ascii="Arial" w:hAnsi="Arial" w:cs="Arial"/>
          <w:sz w:val="24"/>
          <w:szCs w:val="24"/>
          <w:lang w:val="uk-UA"/>
        </w:rPr>
        <w:t xml:space="preserve"> громади</w:t>
      </w:r>
    </w:p>
    <w:p w:rsidR="00BA1911" w:rsidRPr="00BA1911" w:rsidRDefault="00BA1911" w:rsidP="00BA19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BA1911" w:rsidRPr="00BA1911" w:rsidRDefault="00BA1911" w:rsidP="00BA19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BA1911">
        <w:rPr>
          <w:rFonts w:ascii="Arial" w:hAnsi="Arial" w:cs="Arial"/>
          <w:sz w:val="24"/>
          <w:szCs w:val="24"/>
          <w:lang w:val="uk-UA"/>
        </w:rPr>
        <w:lastRenderedPageBreak/>
        <w:t>Чернігівська область: Чернігівська, Менська, Бахмацька, Ніжинська, Куликівська, Бобровицька громади.</w:t>
      </w:r>
    </w:p>
    <w:p w:rsidR="00BA1911" w:rsidRPr="00BA1911" w:rsidRDefault="00BA1911" w:rsidP="00BA1911">
      <w:pPr>
        <w:suppressAutoHyphens/>
        <w:overflowPunct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k-UA"/>
        </w:rPr>
      </w:pPr>
    </w:p>
    <w:p w:rsidR="00CA1C3B" w:rsidRDefault="007322E4" w:rsidP="00107DF1">
      <w:pPr>
        <w:jc w:val="both"/>
        <w:rPr>
          <w:rFonts w:ascii="Arial" w:hAnsi="Arial" w:cs="Arial"/>
          <w:sz w:val="24"/>
          <w:szCs w:val="24"/>
          <w:lang w:val="uk-UA"/>
        </w:rPr>
      </w:pPr>
      <w:r w:rsidRPr="00BA1911">
        <w:rPr>
          <w:rFonts w:ascii="Arial" w:hAnsi="Arial" w:cs="Arial"/>
          <w:b/>
          <w:bCs/>
          <w:sz w:val="24"/>
          <w:szCs w:val="24"/>
          <w:lang w:val="uk-UA"/>
        </w:rPr>
        <w:t>Основною метою</w:t>
      </w:r>
      <w:r w:rsidRPr="00BA1911">
        <w:rPr>
          <w:rFonts w:ascii="Arial" w:hAnsi="Arial" w:cs="Arial"/>
          <w:sz w:val="24"/>
          <w:szCs w:val="24"/>
          <w:lang w:val="uk-UA"/>
        </w:rPr>
        <w:t xml:space="preserve"> цього завдання є</w:t>
      </w:r>
      <w:r w:rsidR="00AA7A9D">
        <w:rPr>
          <w:rFonts w:ascii="Arial" w:hAnsi="Arial" w:cs="Arial"/>
          <w:sz w:val="24"/>
          <w:szCs w:val="24"/>
          <w:lang w:val="uk-UA"/>
        </w:rPr>
        <w:t xml:space="preserve"> створення платформи знань для обміну досвідом</w:t>
      </w:r>
      <w:r w:rsidRPr="00BA1911">
        <w:rPr>
          <w:rFonts w:ascii="Arial" w:hAnsi="Arial" w:cs="Arial"/>
          <w:sz w:val="24"/>
          <w:szCs w:val="24"/>
          <w:lang w:val="uk-UA"/>
        </w:rPr>
        <w:t xml:space="preserve"> надавачів освітніх послуг</w:t>
      </w:r>
      <w:r w:rsidRPr="00BA1911"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 як в формальному, так і нефо</w:t>
      </w:r>
      <w:r w:rsidR="00B86E94">
        <w:rPr>
          <w:rFonts w:ascii="Arial" w:eastAsia="SimSun" w:hAnsi="Arial" w:cs="Arial"/>
          <w:bCs/>
          <w:sz w:val="24"/>
          <w:szCs w:val="24"/>
          <w:lang w:val="uk-UA" w:eastAsia="zh-CN"/>
        </w:rPr>
        <w:t>рмальному освітньому просторі в</w:t>
      </w:r>
      <w:r w:rsidRPr="00BA1911"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 </w:t>
      </w:r>
      <w:r w:rsidRPr="00BA1911">
        <w:rPr>
          <w:rFonts w:ascii="Arial" w:hAnsi="Arial" w:cs="Arial"/>
          <w:sz w:val="24"/>
          <w:szCs w:val="24"/>
          <w:lang w:val="uk-UA"/>
        </w:rPr>
        <w:t>пілотних громад</w:t>
      </w:r>
      <w:r w:rsidR="00B86E94">
        <w:rPr>
          <w:rFonts w:ascii="Arial" w:hAnsi="Arial" w:cs="Arial"/>
          <w:sz w:val="24"/>
          <w:szCs w:val="24"/>
          <w:lang w:val="uk-UA"/>
        </w:rPr>
        <w:t>ах</w:t>
      </w:r>
      <w:r w:rsidRPr="00BA1911">
        <w:rPr>
          <w:rFonts w:ascii="Arial" w:hAnsi="Arial" w:cs="Arial"/>
          <w:sz w:val="24"/>
          <w:szCs w:val="24"/>
          <w:lang w:val="uk-UA"/>
        </w:rPr>
        <w:t xml:space="preserve"> </w:t>
      </w:r>
      <w:r w:rsidRPr="00BA1911"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з питань менструальної гігієни; </w:t>
      </w:r>
      <w:r w:rsidR="00107DF1" w:rsidRPr="00BA1911">
        <w:rPr>
          <w:rFonts w:ascii="Arial" w:hAnsi="Arial" w:cs="Arial"/>
          <w:sz w:val="24"/>
          <w:szCs w:val="24"/>
          <w:lang w:val="uk-UA"/>
        </w:rPr>
        <w:t xml:space="preserve">розширення </w:t>
      </w:r>
      <w:r w:rsidR="00F94010">
        <w:rPr>
          <w:rFonts w:ascii="Arial" w:hAnsi="Arial" w:cs="Arial"/>
          <w:sz w:val="24"/>
          <w:szCs w:val="24"/>
          <w:lang w:val="uk-UA"/>
        </w:rPr>
        <w:t xml:space="preserve">можливостей та обмін </w:t>
      </w:r>
      <w:proofErr w:type="spellStart"/>
      <w:r w:rsidR="00F94010">
        <w:rPr>
          <w:rFonts w:ascii="Arial" w:hAnsi="Arial" w:cs="Arial"/>
          <w:sz w:val="24"/>
          <w:szCs w:val="24"/>
          <w:lang w:val="uk-UA"/>
        </w:rPr>
        <w:t>методологіями</w:t>
      </w:r>
      <w:proofErr w:type="spellEnd"/>
      <w:r w:rsidR="00F94010">
        <w:rPr>
          <w:rFonts w:ascii="Arial" w:hAnsi="Arial" w:cs="Arial"/>
          <w:sz w:val="24"/>
          <w:szCs w:val="24"/>
          <w:lang w:val="uk-UA"/>
        </w:rPr>
        <w:t xml:space="preserve">, інструментами </w:t>
      </w:r>
      <w:r w:rsidR="00107DF1" w:rsidRPr="00BA1911">
        <w:rPr>
          <w:rFonts w:ascii="Arial" w:hAnsi="Arial" w:cs="Arial"/>
          <w:sz w:val="24"/>
          <w:szCs w:val="24"/>
          <w:lang w:val="uk-UA"/>
        </w:rPr>
        <w:t>щодо використання інформаційно-</w:t>
      </w:r>
      <w:r w:rsidR="005E0D25" w:rsidRPr="00BA1911">
        <w:rPr>
          <w:rFonts w:ascii="Arial" w:hAnsi="Arial" w:cs="Arial"/>
          <w:sz w:val="24"/>
          <w:szCs w:val="24"/>
          <w:lang w:val="uk-UA"/>
        </w:rPr>
        <w:t>просвітницьких</w:t>
      </w:r>
      <w:r w:rsidR="00107DF1" w:rsidRPr="00BA1911">
        <w:rPr>
          <w:rFonts w:ascii="Arial" w:hAnsi="Arial" w:cs="Arial"/>
          <w:sz w:val="24"/>
          <w:szCs w:val="24"/>
          <w:lang w:val="uk-UA"/>
        </w:rPr>
        <w:t xml:space="preserve"> інструментів та донесення інформації до дітей-підлітків  щодо особистих гігієнічних потреб та практик гігієни під час менструації;  </w:t>
      </w:r>
    </w:p>
    <w:p w:rsidR="003F3B08" w:rsidRDefault="00612A0A" w:rsidP="00107DF1">
      <w:pPr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Метою Ярмарки знань є о</w:t>
      </w:r>
      <w:r w:rsidR="00CA1C3B">
        <w:rPr>
          <w:rFonts w:ascii="Arial" w:hAnsi="Arial" w:cs="Arial"/>
          <w:sz w:val="24"/>
          <w:szCs w:val="24"/>
          <w:lang w:val="uk-UA"/>
        </w:rPr>
        <w:t xml:space="preserve">бмін новими інструментами, </w:t>
      </w:r>
      <w:proofErr w:type="spellStart"/>
      <w:r w:rsidR="00CA1C3B">
        <w:rPr>
          <w:rFonts w:ascii="Arial" w:hAnsi="Arial" w:cs="Arial"/>
          <w:sz w:val="24"/>
          <w:szCs w:val="24"/>
          <w:lang w:val="uk-UA"/>
        </w:rPr>
        <w:t>методологіями</w:t>
      </w:r>
      <w:proofErr w:type="spellEnd"/>
      <w:r w:rsidR="00CA1C3B">
        <w:rPr>
          <w:rFonts w:ascii="Arial" w:hAnsi="Arial" w:cs="Arial"/>
          <w:sz w:val="24"/>
          <w:szCs w:val="24"/>
          <w:lang w:val="uk-UA"/>
        </w:rPr>
        <w:t xml:space="preserve">, практиками щодо змін </w:t>
      </w:r>
      <w:r w:rsidR="00107DF1" w:rsidRPr="00BA1911">
        <w:rPr>
          <w:rFonts w:ascii="Arial" w:hAnsi="Arial" w:cs="Arial"/>
          <w:sz w:val="24"/>
          <w:szCs w:val="24"/>
          <w:lang w:val="uk-UA"/>
        </w:rPr>
        <w:t>рівня знань, уявлень та поведінки, пов'язаних з особистою гігієною, а також виявлення проблем, з якими стикаються особи при гігієні менструації, а  також ресурсів та систем підтримки, що допоможуть у вирішенні проблемних моментів</w:t>
      </w:r>
      <w:r w:rsidR="00CA1C3B">
        <w:rPr>
          <w:rFonts w:ascii="Arial" w:hAnsi="Arial" w:cs="Arial"/>
          <w:sz w:val="24"/>
          <w:szCs w:val="24"/>
          <w:lang w:val="uk-UA"/>
        </w:rPr>
        <w:t xml:space="preserve"> та створення платформи </w:t>
      </w:r>
      <w:r w:rsidR="003F3B08">
        <w:rPr>
          <w:rFonts w:ascii="Arial" w:hAnsi="Arial" w:cs="Arial"/>
          <w:sz w:val="24"/>
          <w:szCs w:val="24"/>
          <w:lang w:val="uk-UA"/>
        </w:rPr>
        <w:t xml:space="preserve">знань та </w:t>
      </w:r>
      <w:proofErr w:type="spellStart"/>
      <w:r w:rsidR="003F3B08">
        <w:rPr>
          <w:rFonts w:ascii="Arial" w:hAnsi="Arial" w:cs="Arial"/>
          <w:sz w:val="24"/>
          <w:szCs w:val="24"/>
          <w:lang w:val="uk-UA"/>
        </w:rPr>
        <w:t>партнерств</w:t>
      </w:r>
      <w:proofErr w:type="spellEnd"/>
      <w:r w:rsidR="00107DF1" w:rsidRPr="00BA1911">
        <w:rPr>
          <w:rFonts w:ascii="Arial" w:hAnsi="Arial" w:cs="Arial"/>
          <w:sz w:val="24"/>
          <w:szCs w:val="24"/>
          <w:lang w:val="uk-UA"/>
        </w:rPr>
        <w:t>.</w:t>
      </w:r>
      <w:r w:rsidR="00D25445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107DF1" w:rsidRPr="00BA1911" w:rsidRDefault="00D25445" w:rsidP="00612A0A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Завдання є комплексним, яке включає як послуги з організації та проведення тренінгів (конференц-сервіс), так і  експертні послуги щодо змістовного наповнення та </w:t>
      </w:r>
      <w:r w:rsidR="007A0D42">
        <w:rPr>
          <w:rFonts w:ascii="Arial" w:hAnsi="Arial" w:cs="Arial"/>
          <w:sz w:val="24"/>
          <w:szCs w:val="24"/>
          <w:lang w:val="uk-UA"/>
        </w:rPr>
        <w:t>тренерської підтримки ярмарки-знань</w:t>
      </w:r>
      <w:r>
        <w:rPr>
          <w:rFonts w:ascii="Arial" w:hAnsi="Arial" w:cs="Arial"/>
          <w:sz w:val="24"/>
          <w:szCs w:val="24"/>
          <w:lang w:val="uk-UA"/>
        </w:rPr>
        <w:t xml:space="preserve">. </w:t>
      </w:r>
      <w:r w:rsidR="003F3B08" w:rsidRPr="00D25445"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До участі запрошуються кваліфіковані експерти, офіційно зареєстровані організації, в тому числі громадські,  та приватні підприємці. </w:t>
      </w:r>
    </w:p>
    <w:p w:rsidR="00A8214D" w:rsidRDefault="007322E4" w:rsidP="00107DF1">
      <w:pPr>
        <w:tabs>
          <w:tab w:val="left" w:pos="97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BA1911">
        <w:rPr>
          <w:rFonts w:ascii="Arial" w:hAnsi="Arial" w:cs="Arial"/>
          <w:b/>
          <w:bCs/>
          <w:sz w:val="24"/>
          <w:szCs w:val="24"/>
          <w:lang w:val="uk-UA"/>
        </w:rPr>
        <w:t>Ціллю завдання</w:t>
      </w:r>
      <w:r w:rsidRPr="00BA1911">
        <w:rPr>
          <w:rFonts w:ascii="Arial" w:hAnsi="Arial" w:cs="Arial"/>
          <w:sz w:val="24"/>
          <w:szCs w:val="24"/>
          <w:lang w:val="uk-UA"/>
        </w:rPr>
        <w:t xml:space="preserve"> є реалізація комплексу заходів</w:t>
      </w:r>
      <w:r w:rsidR="00BA1911">
        <w:rPr>
          <w:rFonts w:ascii="Arial" w:hAnsi="Arial" w:cs="Arial"/>
          <w:sz w:val="24"/>
          <w:szCs w:val="24"/>
          <w:lang w:val="uk-UA"/>
        </w:rPr>
        <w:t>, включаючи конференц-послуги</w:t>
      </w:r>
      <w:r w:rsidRPr="00BA1911">
        <w:rPr>
          <w:rFonts w:ascii="Arial" w:hAnsi="Arial" w:cs="Arial"/>
          <w:sz w:val="24"/>
          <w:szCs w:val="24"/>
          <w:lang w:val="uk-UA"/>
        </w:rPr>
        <w:t>, направлен</w:t>
      </w:r>
      <w:r w:rsidR="00BA1911">
        <w:rPr>
          <w:rFonts w:ascii="Arial" w:hAnsi="Arial" w:cs="Arial"/>
          <w:sz w:val="24"/>
          <w:szCs w:val="24"/>
          <w:lang w:val="uk-UA"/>
        </w:rPr>
        <w:t>і</w:t>
      </w:r>
      <w:r w:rsidRPr="00BA1911">
        <w:rPr>
          <w:rFonts w:ascii="Arial" w:hAnsi="Arial" w:cs="Arial"/>
          <w:sz w:val="24"/>
          <w:szCs w:val="24"/>
          <w:lang w:val="uk-UA"/>
        </w:rPr>
        <w:t xml:space="preserve"> на розвиток </w:t>
      </w:r>
      <w:r w:rsidR="00107DF1" w:rsidRPr="00BA1911">
        <w:rPr>
          <w:rFonts w:ascii="Arial" w:hAnsi="Arial" w:cs="Arial"/>
          <w:sz w:val="24"/>
          <w:szCs w:val="24"/>
          <w:lang w:val="uk-UA"/>
        </w:rPr>
        <w:t>та розбудову спроможності  надавачів освітніх послуг</w:t>
      </w:r>
      <w:r w:rsidR="003F3B08">
        <w:rPr>
          <w:rFonts w:ascii="Arial" w:hAnsi="Arial" w:cs="Arial"/>
          <w:sz w:val="24"/>
          <w:szCs w:val="24"/>
          <w:lang w:val="uk-UA"/>
        </w:rPr>
        <w:t>, молодіжних лідерів,</w:t>
      </w:r>
      <w:r w:rsidR="00107DF1" w:rsidRPr="00BA1911"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 як в формальному, так і неформальному освітньому просторі</w:t>
      </w:r>
      <w:r w:rsidR="00A8214D" w:rsidRPr="00BA1911">
        <w:rPr>
          <w:rFonts w:ascii="Arial" w:eastAsia="SimSun" w:hAnsi="Arial" w:cs="Arial"/>
          <w:bCs/>
          <w:sz w:val="24"/>
          <w:szCs w:val="24"/>
          <w:lang w:val="uk-UA" w:eastAsia="zh-CN"/>
        </w:rPr>
        <w:t xml:space="preserve">  з питань менструальної гігієни</w:t>
      </w:r>
      <w:r w:rsidR="00A8214D" w:rsidRPr="00BA1911">
        <w:rPr>
          <w:rFonts w:ascii="Arial" w:hAnsi="Arial" w:cs="Arial"/>
          <w:sz w:val="24"/>
          <w:szCs w:val="24"/>
          <w:lang w:val="uk-UA"/>
        </w:rPr>
        <w:t xml:space="preserve"> та отримання громадсько активної компетентної, екологічно відповідальної спільноти  з питань води, гігієни, санітарії. </w:t>
      </w:r>
    </w:p>
    <w:p w:rsidR="00612A0A" w:rsidRPr="00BA1911" w:rsidRDefault="00612A0A" w:rsidP="00107DF1">
      <w:pPr>
        <w:tabs>
          <w:tab w:val="left" w:pos="97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6595A" w:rsidRPr="00612A0A" w:rsidRDefault="0096595A" w:rsidP="00A8214D">
      <w:pPr>
        <w:tabs>
          <w:tab w:val="left" w:pos="975"/>
          <w:tab w:val="left" w:pos="2325"/>
        </w:tabs>
        <w:spacing w:before="120" w:after="0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612A0A">
        <w:rPr>
          <w:rFonts w:ascii="Arial" w:hAnsi="Arial" w:cs="Arial"/>
          <w:b/>
          <w:sz w:val="24"/>
          <w:szCs w:val="24"/>
          <w:lang w:val="uk-UA"/>
        </w:rPr>
        <w:t xml:space="preserve">Обсяг робіт: </w:t>
      </w:r>
      <w:r w:rsidR="00A8214D" w:rsidRPr="00612A0A">
        <w:rPr>
          <w:rFonts w:ascii="Arial" w:hAnsi="Arial" w:cs="Arial"/>
          <w:b/>
          <w:sz w:val="24"/>
          <w:szCs w:val="24"/>
          <w:lang w:val="uk-UA"/>
        </w:rPr>
        <w:tab/>
      </w:r>
    </w:p>
    <w:p w:rsidR="00A8214D" w:rsidRPr="00612A0A" w:rsidRDefault="00A8214D" w:rsidP="00A821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Виконавець буде відповідальним за підготовку та виконання наступних завдань:</w:t>
      </w:r>
    </w:p>
    <w:p w:rsidR="003F3B08" w:rsidRPr="00612A0A" w:rsidRDefault="003F3B08" w:rsidP="00A8214D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3F3B08" w:rsidRPr="00612A0A" w:rsidRDefault="003F3B08" w:rsidP="003F3B08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- розробка та погодження із Замовником плану проведення фінальної ярмарки знань з питань менструальної гігієни для представників громад Київської, Житомирської та Чернігівської </w:t>
      </w:r>
      <w:r w:rsidR="00542D5E">
        <w:rPr>
          <w:rFonts w:ascii="Arial" w:hAnsi="Arial" w:cs="Arial"/>
          <w:sz w:val="24"/>
          <w:szCs w:val="24"/>
          <w:lang w:val="uk-UA"/>
        </w:rPr>
        <w:t>областей. Кількість учасників– 8</w:t>
      </w:r>
      <w:r w:rsidRPr="00612A0A">
        <w:rPr>
          <w:rFonts w:ascii="Arial" w:hAnsi="Arial" w:cs="Arial"/>
          <w:sz w:val="24"/>
          <w:szCs w:val="24"/>
          <w:lang w:val="uk-UA"/>
        </w:rPr>
        <w:t>0 осіб, тривалість– 2 дні, 10 годин;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- розробка програми та матеріалів, включаючи інформаційно-просвітницькі, презентаційні матеріали, анкетування учасників тощо;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- підбір </w:t>
      </w:r>
      <w:r w:rsidR="00DC7A37" w:rsidRPr="00612A0A">
        <w:rPr>
          <w:rFonts w:ascii="Arial" w:hAnsi="Arial" w:cs="Arial"/>
          <w:sz w:val="24"/>
          <w:szCs w:val="24"/>
          <w:lang w:val="uk-UA"/>
        </w:rPr>
        <w:t>3-ох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r w:rsidR="00DC7A37" w:rsidRPr="00612A0A">
        <w:rPr>
          <w:rFonts w:ascii="Arial" w:hAnsi="Arial" w:cs="Arial"/>
          <w:sz w:val="24"/>
          <w:szCs w:val="24"/>
          <w:lang w:val="uk-UA"/>
        </w:rPr>
        <w:t>експертів-</w:t>
      </w:r>
      <w:r w:rsidRPr="00612A0A">
        <w:rPr>
          <w:rFonts w:ascii="Arial" w:hAnsi="Arial" w:cs="Arial"/>
          <w:sz w:val="24"/>
          <w:szCs w:val="24"/>
          <w:lang w:val="uk-UA"/>
        </w:rPr>
        <w:t>тренерів для розробки та впровадження програми Конференції з питань менструальної гігієни;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612A0A">
        <w:rPr>
          <w:rFonts w:ascii="Arial" w:hAnsi="Arial" w:cs="Arial"/>
          <w:sz w:val="24"/>
          <w:szCs w:val="24"/>
          <w:lang w:val="uk-UA"/>
        </w:rPr>
        <w:t>- оренда конференц-залу та майданчиків для роботи у групах;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612A0A">
        <w:rPr>
          <w:rFonts w:ascii="Arial" w:hAnsi="Arial" w:cs="Arial"/>
          <w:sz w:val="24"/>
          <w:szCs w:val="24"/>
          <w:lang w:val="uk-UA"/>
        </w:rPr>
        <w:t>- забезпечення транспортування та проживання учасників;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- забезпечення 1 кави-паузи, 1 обіду, 1 вечері в день проведення </w:t>
      </w:r>
      <w:r w:rsidR="0078551B">
        <w:rPr>
          <w:rFonts w:ascii="Arial" w:hAnsi="Arial" w:cs="Arial"/>
          <w:sz w:val="24"/>
          <w:szCs w:val="24"/>
          <w:lang w:val="uk-UA"/>
        </w:rPr>
        <w:t xml:space="preserve">Ярмарки </w:t>
      </w:r>
      <w:r w:rsidRPr="00612A0A">
        <w:rPr>
          <w:rFonts w:ascii="Arial" w:hAnsi="Arial" w:cs="Arial"/>
          <w:sz w:val="24"/>
          <w:szCs w:val="24"/>
          <w:lang w:val="uk-UA"/>
        </w:rPr>
        <w:t>та 1 сніданку для учасників з регіонів</w:t>
      </w:r>
      <w:r w:rsidR="0078551B">
        <w:rPr>
          <w:rFonts w:ascii="Arial" w:hAnsi="Arial" w:cs="Arial"/>
          <w:sz w:val="24"/>
          <w:szCs w:val="24"/>
          <w:lang w:val="uk-UA"/>
        </w:rPr>
        <w:t>, а також 1 обіду на 2-ий день Ярмарки</w:t>
      </w:r>
      <w:r w:rsidRPr="00612A0A">
        <w:rPr>
          <w:rFonts w:ascii="Arial" w:hAnsi="Arial" w:cs="Arial"/>
          <w:sz w:val="24"/>
          <w:szCs w:val="24"/>
          <w:lang w:val="uk-UA"/>
        </w:rPr>
        <w:t>;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- друк роздаткових матеріалів, розробка, канцелярського приладдя, підготовка інших супровідних матеріалів для проведення Конференції.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Програма </w:t>
      </w:r>
      <w:r w:rsidR="00231EFC" w:rsidRPr="00612A0A">
        <w:rPr>
          <w:rFonts w:ascii="Arial" w:hAnsi="Arial" w:cs="Arial"/>
          <w:sz w:val="24"/>
          <w:szCs w:val="24"/>
          <w:lang w:val="uk-UA"/>
        </w:rPr>
        <w:t xml:space="preserve">Ярмарки знань </w:t>
      </w:r>
      <w:r w:rsidRPr="00612A0A">
        <w:rPr>
          <w:rFonts w:ascii="Arial" w:hAnsi="Arial" w:cs="Arial"/>
          <w:sz w:val="24"/>
          <w:szCs w:val="24"/>
          <w:lang w:val="uk-UA"/>
        </w:rPr>
        <w:t>має включати виступи ключових спікерів з питань менструальної гігієни, охорони здоров'я, соціальної психології</w:t>
      </w:r>
      <w:r w:rsidR="00231EFC" w:rsidRPr="00612A0A">
        <w:rPr>
          <w:rFonts w:ascii="Arial" w:hAnsi="Arial" w:cs="Arial"/>
          <w:sz w:val="24"/>
          <w:szCs w:val="24"/>
          <w:lang w:val="uk-UA"/>
        </w:rPr>
        <w:t>, ментального здоров’я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 щодо основних </w:t>
      </w:r>
      <w:r w:rsidR="00231EFC" w:rsidRPr="00612A0A">
        <w:rPr>
          <w:rFonts w:ascii="Arial" w:hAnsi="Arial" w:cs="Arial"/>
          <w:sz w:val="24"/>
          <w:szCs w:val="24"/>
          <w:lang w:val="uk-UA"/>
        </w:rPr>
        <w:t xml:space="preserve"> тенденцій та </w:t>
      </w:r>
      <w:r w:rsidRPr="00612A0A">
        <w:rPr>
          <w:rFonts w:ascii="Arial" w:hAnsi="Arial" w:cs="Arial"/>
          <w:sz w:val="24"/>
          <w:szCs w:val="24"/>
          <w:lang w:val="uk-UA"/>
        </w:rPr>
        <w:t>викликів сьогодення, пов'язаних з менструальною гігієною,</w:t>
      </w:r>
      <w:r w:rsidR="00231EFC" w:rsidRPr="00612A0A">
        <w:rPr>
          <w:rFonts w:ascii="Arial" w:hAnsi="Arial" w:cs="Arial"/>
          <w:sz w:val="24"/>
          <w:szCs w:val="24"/>
          <w:lang w:val="uk-UA"/>
        </w:rPr>
        <w:t xml:space="preserve"> в тому числі підлітковий період та права підлітків, питання менструальної гігієни під час війни,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r w:rsidR="00231EFC" w:rsidRPr="00612A0A">
        <w:rPr>
          <w:rFonts w:ascii="Arial" w:hAnsi="Arial" w:cs="Arial"/>
          <w:sz w:val="24"/>
          <w:szCs w:val="24"/>
          <w:lang w:val="uk-UA"/>
        </w:rPr>
        <w:t xml:space="preserve">екологічність та 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 поводження з відходами.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Під час </w:t>
      </w:r>
      <w:r w:rsidR="00DC7A37" w:rsidRPr="00612A0A">
        <w:rPr>
          <w:rFonts w:ascii="Arial" w:hAnsi="Arial" w:cs="Arial"/>
          <w:sz w:val="24"/>
          <w:szCs w:val="24"/>
          <w:lang w:val="uk-UA"/>
        </w:rPr>
        <w:t xml:space="preserve">Ярмарки </w:t>
      </w:r>
      <w:r w:rsidRPr="00612A0A">
        <w:rPr>
          <w:rFonts w:ascii="Arial" w:hAnsi="Arial" w:cs="Arial"/>
          <w:sz w:val="24"/>
          <w:szCs w:val="24"/>
          <w:lang w:val="uk-UA"/>
        </w:rPr>
        <w:t>мають бути проведені панельні дискусії</w:t>
      </w:r>
      <w:r w:rsidR="00231EFC" w:rsidRPr="00612A0A">
        <w:rPr>
          <w:rFonts w:ascii="Arial" w:hAnsi="Arial" w:cs="Arial"/>
          <w:sz w:val="24"/>
          <w:szCs w:val="24"/>
          <w:lang w:val="uk-UA"/>
        </w:rPr>
        <w:t>/групові сесії,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 під час яких з ключовими провайдерами освітніх послуг обговорюватимуться результати проведеної діяльності в навчальних закладах, в тому числі використання тренінгового пакету «Здоров’я та комфорт», визначення зміни поведінки підлітків після проведеної роботи, ідентифікація успішних методів і підходів, які дали найбільший позитивний ефект, визначення проблемних зон та труднощів та надання рекомендацій щодо подальшого розвитку освітніх ініціатив з менструальної гігієни в пілотних громадах.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Для молодіжних лідерів будуть організовані майстер класи та практичні заняття з метою привернення увагу до природного процесу дорослішання, жіночого здоров’я і менструації, правил особистої гігієни, доступу до чистої води та засобів для менструальної гігієни, що дозволить зміцнити їхню впевненість у собі та висвітлити делікатне питання менструальної гігієни.</w:t>
      </w:r>
    </w:p>
    <w:p w:rsidR="003F3B08" w:rsidRPr="00612A0A" w:rsidRDefault="003F3B08" w:rsidP="003F3B08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Обговорення між провайдерами освітніх послуг та молодіжними лідерами дозволить </w:t>
      </w:r>
      <w:r w:rsidR="00231EFC" w:rsidRPr="00612A0A">
        <w:rPr>
          <w:rFonts w:ascii="Arial" w:hAnsi="Arial" w:cs="Arial"/>
          <w:sz w:val="24"/>
          <w:szCs w:val="24"/>
          <w:lang w:val="uk-UA"/>
        </w:rPr>
        <w:t xml:space="preserve">провести огляд </w:t>
      </w:r>
      <w:r w:rsidRPr="00612A0A">
        <w:rPr>
          <w:rFonts w:ascii="Arial" w:hAnsi="Arial" w:cs="Arial"/>
          <w:sz w:val="24"/>
          <w:szCs w:val="24"/>
          <w:lang w:val="uk-UA"/>
        </w:rPr>
        <w:t>ефективності проведеної діяльності з питань менструальної гігієни, порівняти заплановані цілі з фактично досягнутими результатами. Така оцінка не тільки дозволить підсумувати досягнення, але й сприятиме вдосконаленню майбутньої діяльності у сфері менструальної гігієни, що в кінцевому результаті сприятиме покращенню здоров'я та добробуту дівчат і жінок.</w:t>
      </w:r>
    </w:p>
    <w:p w:rsidR="003F3B08" w:rsidRPr="00612A0A" w:rsidRDefault="00DC7A37" w:rsidP="003F3B08">
      <w:pPr>
        <w:spacing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Ярмарка знань </w:t>
      </w:r>
      <w:r w:rsidR="003F3B08" w:rsidRPr="00612A0A">
        <w:rPr>
          <w:rFonts w:ascii="Arial" w:hAnsi="Arial" w:cs="Arial"/>
          <w:sz w:val="24"/>
          <w:szCs w:val="24"/>
          <w:lang w:val="uk-UA"/>
        </w:rPr>
        <w:t xml:space="preserve">стане ефективною платформою для подальшого розвитку та впровадження ініціатив, спрямованих на покращення обізнаності про менструальну гігієну серед молоді та </w:t>
      </w:r>
      <w:proofErr w:type="spellStart"/>
      <w:r w:rsidR="003F3B08" w:rsidRPr="00612A0A">
        <w:rPr>
          <w:rFonts w:ascii="Arial" w:hAnsi="Arial" w:cs="Arial"/>
          <w:sz w:val="24"/>
          <w:szCs w:val="24"/>
          <w:lang w:val="uk-UA"/>
        </w:rPr>
        <w:t>надасть</w:t>
      </w:r>
      <w:proofErr w:type="spellEnd"/>
      <w:r w:rsidR="003F3B08" w:rsidRPr="00612A0A">
        <w:rPr>
          <w:rFonts w:ascii="Arial" w:hAnsi="Arial" w:cs="Arial"/>
          <w:sz w:val="24"/>
          <w:szCs w:val="24"/>
          <w:lang w:val="uk-UA"/>
        </w:rPr>
        <w:t xml:space="preserve"> можливість вдосконалити діяльність провайдерів освітніх послуг в даному напрямку.</w:t>
      </w:r>
    </w:p>
    <w:p w:rsidR="003F3B08" w:rsidRPr="00612A0A" w:rsidRDefault="003F3B08" w:rsidP="003F3B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612A0A">
        <w:rPr>
          <w:rFonts w:ascii="Arial" w:hAnsi="Arial" w:cs="Arial"/>
          <w:b/>
          <w:bCs/>
          <w:sz w:val="24"/>
          <w:szCs w:val="24"/>
          <w:lang w:val="uk-UA"/>
        </w:rPr>
        <w:t xml:space="preserve">Результатом </w:t>
      </w:r>
      <w:r w:rsidRPr="00612A0A">
        <w:rPr>
          <w:rFonts w:ascii="Arial" w:hAnsi="Arial" w:cs="Arial"/>
          <w:sz w:val="24"/>
          <w:szCs w:val="24"/>
          <w:lang w:val="uk-UA"/>
        </w:rPr>
        <w:t>має бути</w:t>
      </w:r>
      <w:r w:rsidR="00231EFC"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r w:rsidR="0078551B">
        <w:rPr>
          <w:rFonts w:ascii="Arial" w:hAnsi="Arial" w:cs="Arial"/>
          <w:sz w:val="24"/>
          <w:szCs w:val="24"/>
          <w:lang w:val="uk-UA"/>
        </w:rPr>
        <w:t xml:space="preserve">проведення Ярмарки знань із наданням </w:t>
      </w:r>
      <w:r w:rsidR="0078551B" w:rsidRPr="00612A0A">
        <w:rPr>
          <w:rFonts w:ascii="Arial" w:hAnsi="Arial" w:cs="Arial"/>
          <w:sz w:val="24"/>
          <w:szCs w:val="24"/>
          <w:lang w:val="uk-UA"/>
        </w:rPr>
        <w:t>надання пакету конференц-сервісу все включено</w:t>
      </w:r>
      <w:r w:rsidR="0078551B">
        <w:rPr>
          <w:rFonts w:ascii="Arial" w:hAnsi="Arial" w:cs="Arial"/>
          <w:sz w:val="24"/>
          <w:szCs w:val="24"/>
          <w:lang w:val="uk-UA"/>
        </w:rPr>
        <w:t>, включаючи надання звіту</w:t>
      </w:r>
      <w:r w:rsidR="0078551B"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r w:rsidR="00231EFC" w:rsidRPr="00612A0A">
        <w:rPr>
          <w:rFonts w:ascii="Arial" w:hAnsi="Arial" w:cs="Arial"/>
          <w:sz w:val="24"/>
          <w:szCs w:val="24"/>
          <w:lang w:val="uk-UA"/>
        </w:rPr>
        <w:t>розробка</w:t>
      </w:r>
      <w:r w:rsidRPr="00612A0A">
        <w:rPr>
          <w:rFonts w:ascii="Arial" w:hAnsi="Arial" w:cs="Arial"/>
          <w:sz w:val="24"/>
          <w:szCs w:val="24"/>
          <w:lang w:val="uk-UA"/>
        </w:rPr>
        <w:t>, за результатами проведення</w:t>
      </w:r>
      <w:r w:rsidR="0078551B">
        <w:rPr>
          <w:rFonts w:ascii="Arial" w:hAnsi="Arial" w:cs="Arial"/>
          <w:sz w:val="24"/>
          <w:szCs w:val="24"/>
          <w:lang w:val="uk-UA"/>
        </w:rPr>
        <w:t xml:space="preserve"> Ярмарки знань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. </w:t>
      </w:r>
    </w:p>
    <w:p w:rsidR="003F3B08" w:rsidRPr="00612A0A" w:rsidRDefault="003F3B08" w:rsidP="003F3B0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uk-UA"/>
        </w:rPr>
      </w:pPr>
    </w:p>
    <w:p w:rsidR="00A8214D" w:rsidRPr="00612A0A" w:rsidRDefault="00254C4F" w:rsidP="00A8214D">
      <w:pPr>
        <w:tabs>
          <w:tab w:val="left" w:pos="975"/>
          <w:tab w:val="left" w:pos="2325"/>
        </w:tabs>
        <w:spacing w:before="120" w:after="0" w:line="240" w:lineRule="auto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612A0A">
        <w:rPr>
          <w:rFonts w:ascii="Arial" w:hAnsi="Arial" w:cs="Arial"/>
          <w:b/>
          <w:sz w:val="24"/>
          <w:szCs w:val="24"/>
          <w:lang w:val="uk-UA"/>
        </w:rPr>
        <w:t xml:space="preserve">Завдання Виконавця після підписання </w:t>
      </w:r>
      <w:r w:rsidR="004E1DD8" w:rsidRPr="00612A0A">
        <w:rPr>
          <w:rFonts w:ascii="Arial" w:hAnsi="Arial" w:cs="Arial"/>
          <w:b/>
          <w:sz w:val="24"/>
          <w:szCs w:val="24"/>
          <w:lang w:val="uk-UA"/>
        </w:rPr>
        <w:t>контракту:</w:t>
      </w:r>
    </w:p>
    <w:p w:rsidR="0006068D" w:rsidRPr="00612A0A" w:rsidRDefault="00202D3D" w:rsidP="00254C4F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п</w:t>
      </w:r>
      <w:r w:rsidR="0006068D" w:rsidRPr="00612A0A">
        <w:rPr>
          <w:rFonts w:ascii="Arial" w:hAnsi="Arial" w:cs="Arial"/>
          <w:sz w:val="24"/>
          <w:szCs w:val="24"/>
          <w:lang w:val="uk-UA"/>
        </w:rPr>
        <w:t>ідготовка та узгодження із З</w:t>
      </w:r>
      <w:r w:rsidR="004E1DD8" w:rsidRPr="00612A0A">
        <w:rPr>
          <w:rFonts w:ascii="Arial" w:hAnsi="Arial" w:cs="Arial"/>
          <w:sz w:val="24"/>
          <w:szCs w:val="24"/>
          <w:lang w:val="uk-UA"/>
        </w:rPr>
        <w:t>а</w:t>
      </w:r>
      <w:r w:rsidR="0006068D" w:rsidRPr="00612A0A">
        <w:rPr>
          <w:rFonts w:ascii="Arial" w:hAnsi="Arial" w:cs="Arial"/>
          <w:sz w:val="24"/>
          <w:szCs w:val="24"/>
          <w:lang w:val="uk-UA"/>
        </w:rPr>
        <w:t xml:space="preserve">мовником </w:t>
      </w:r>
      <w:r w:rsidR="008E44D9" w:rsidRPr="00612A0A">
        <w:rPr>
          <w:rFonts w:ascii="Arial" w:hAnsi="Arial" w:cs="Arial"/>
          <w:sz w:val="24"/>
          <w:szCs w:val="24"/>
          <w:lang w:val="uk-UA"/>
        </w:rPr>
        <w:t>змістовного наповнення та програми Ярмарки</w:t>
      </w:r>
      <w:r w:rsidR="004E1DD8" w:rsidRPr="00612A0A">
        <w:rPr>
          <w:rFonts w:ascii="Arial" w:hAnsi="Arial" w:cs="Arial"/>
          <w:sz w:val="24"/>
          <w:szCs w:val="24"/>
          <w:lang w:val="uk-UA"/>
        </w:rPr>
        <w:t>, включаючи роботу</w:t>
      </w:r>
      <w:r w:rsidR="008E44D9"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r w:rsidR="004E1DD8" w:rsidRPr="00612A0A">
        <w:rPr>
          <w:rFonts w:ascii="Arial" w:hAnsi="Arial" w:cs="Arial"/>
          <w:sz w:val="24"/>
          <w:szCs w:val="24"/>
          <w:lang w:val="uk-UA"/>
        </w:rPr>
        <w:t xml:space="preserve"> експертів;</w:t>
      </w:r>
      <w:r w:rsidR="0006068D" w:rsidRPr="00612A0A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254C4F" w:rsidRPr="00612A0A" w:rsidRDefault="00BB0C59" w:rsidP="004F08A6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о</w:t>
      </w:r>
      <w:r w:rsidR="00202D3D" w:rsidRPr="00612A0A">
        <w:rPr>
          <w:rFonts w:ascii="Arial" w:hAnsi="Arial" w:cs="Arial"/>
          <w:sz w:val="24"/>
          <w:szCs w:val="24"/>
          <w:lang w:val="uk-UA"/>
        </w:rPr>
        <w:t>р</w:t>
      </w:r>
      <w:r w:rsidR="00254C4F" w:rsidRPr="00612A0A">
        <w:rPr>
          <w:rFonts w:ascii="Arial" w:hAnsi="Arial" w:cs="Arial"/>
          <w:sz w:val="24"/>
          <w:szCs w:val="24"/>
          <w:lang w:val="uk-UA"/>
        </w:rPr>
        <w:t>ганізація та проведення</w:t>
      </w:r>
      <w:r w:rsidR="001834BA">
        <w:rPr>
          <w:rFonts w:ascii="Arial" w:hAnsi="Arial" w:cs="Arial"/>
          <w:sz w:val="24"/>
          <w:szCs w:val="24"/>
          <w:lang w:val="uk-UA"/>
        </w:rPr>
        <w:t xml:space="preserve"> </w:t>
      </w:r>
      <w:r w:rsidR="008E44D9" w:rsidRPr="00612A0A">
        <w:rPr>
          <w:rFonts w:ascii="Arial" w:hAnsi="Arial" w:cs="Arial"/>
          <w:sz w:val="24"/>
          <w:szCs w:val="24"/>
          <w:lang w:val="uk-UA"/>
        </w:rPr>
        <w:t xml:space="preserve">Ярмарки знань </w:t>
      </w:r>
      <w:r w:rsidR="004E1DD8" w:rsidRPr="00612A0A">
        <w:rPr>
          <w:rFonts w:ascii="Arial" w:hAnsi="Arial" w:cs="Arial"/>
          <w:sz w:val="24"/>
          <w:szCs w:val="24"/>
          <w:lang w:val="uk-UA"/>
        </w:rPr>
        <w:t xml:space="preserve">- </w:t>
      </w:r>
      <w:r w:rsidR="00254C4F" w:rsidRPr="00612A0A">
        <w:rPr>
          <w:rFonts w:ascii="Arial" w:hAnsi="Arial" w:cs="Arial"/>
          <w:sz w:val="24"/>
          <w:szCs w:val="24"/>
          <w:lang w:val="uk-UA"/>
        </w:rPr>
        <w:t>логістичний супровід</w:t>
      </w:r>
      <w:r w:rsidR="008E44D9" w:rsidRPr="00612A0A">
        <w:rPr>
          <w:rFonts w:ascii="Arial" w:hAnsi="Arial" w:cs="Arial"/>
          <w:sz w:val="24"/>
          <w:szCs w:val="24"/>
          <w:lang w:val="uk-UA"/>
        </w:rPr>
        <w:t xml:space="preserve">, </w:t>
      </w:r>
      <w:r w:rsidR="00254C4F"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r w:rsidR="008E44D9" w:rsidRPr="00612A0A">
        <w:rPr>
          <w:rFonts w:ascii="Arial" w:hAnsi="Arial" w:cs="Arial"/>
          <w:sz w:val="24"/>
          <w:szCs w:val="24"/>
          <w:lang w:val="uk-UA"/>
        </w:rPr>
        <w:t xml:space="preserve">надання пакету конференц-сервісу все включено </w:t>
      </w:r>
      <w:r w:rsidR="00254C4F" w:rsidRPr="00612A0A">
        <w:rPr>
          <w:rFonts w:ascii="Arial" w:hAnsi="Arial" w:cs="Arial"/>
          <w:sz w:val="24"/>
          <w:szCs w:val="24"/>
          <w:lang w:val="uk-UA"/>
        </w:rPr>
        <w:t>тощо</w:t>
      </w:r>
      <w:r w:rsidR="00202D3D" w:rsidRPr="00612A0A">
        <w:rPr>
          <w:rFonts w:ascii="Arial" w:hAnsi="Arial" w:cs="Arial"/>
          <w:sz w:val="24"/>
          <w:szCs w:val="24"/>
          <w:lang w:val="uk-UA"/>
        </w:rPr>
        <w:t>;</w:t>
      </w:r>
    </w:p>
    <w:p w:rsidR="0006068D" w:rsidRPr="00612A0A" w:rsidRDefault="00BB0C59" w:rsidP="001B41F1">
      <w:pPr>
        <w:pStyle w:val="a5"/>
        <w:numPr>
          <w:ilvl w:val="0"/>
          <w:numId w:val="1"/>
        </w:numPr>
        <w:tabs>
          <w:tab w:val="left" w:pos="975"/>
          <w:tab w:val="left" w:pos="2325"/>
        </w:tabs>
        <w:spacing w:before="120" w:after="0" w:line="240" w:lineRule="auto"/>
        <w:ind w:left="426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п</w:t>
      </w:r>
      <w:r w:rsidR="00254C4F" w:rsidRPr="00612A0A">
        <w:rPr>
          <w:rFonts w:ascii="Arial" w:hAnsi="Arial" w:cs="Arial"/>
          <w:sz w:val="24"/>
          <w:szCs w:val="24"/>
          <w:lang w:val="uk-UA"/>
        </w:rPr>
        <w:t>ідготовка звіт</w:t>
      </w:r>
      <w:r w:rsidR="008E44D9" w:rsidRPr="00612A0A">
        <w:rPr>
          <w:rFonts w:ascii="Arial" w:hAnsi="Arial" w:cs="Arial"/>
          <w:sz w:val="24"/>
          <w:szCs w:val="24"/>
          <w:lang w:val="uk-UA"/>
        </w:rPr>
        <w:t>у</w:t>
      </w:r>
      <w:r w:rsidR="00254C4F" w:rsidRPr="00612A0A">
        <w:rPr>
          <w:rFonts w:ascii="Arial" w:hAnsi="Arial" w:cs="Arial"/>
          <w:sz w:val="24"/>
          <w:szCs w:val="24"/>
          <w:lang w:val="uk-UA"/>
        </w:rPr>
        <w:t xml:space="preserve"> за результатами проведен</w:t>
      </w:r>
      <w:r w:rsidR="008E44D9" w:rsidRPr="00612A0A">
        <w:rPr>
          <w:rFonts w:ascii="Arial" w:hAnsi="Arial" w:cs="Arial"/>
          <w:sz w:val="24"/>
          <w:szCs w:val="24"/>
          <w:lang w:val="uk-UA"/>
        </w:rPr>
        <w:t>ня</w:t>
      </w:r>
      <w:r w:rsidR="00254C4F" w:rsidRPr="00612A0A">
        <w:rPr>
          <w:rFonts w:ascii="Arial" w:hAnsi="Arial" w:cs="Arial"/>
          <w:sz w:val="24"/>
          <w:szCs w:val="24"/>
          <w:lang w:val="uk-UA"/>
        </w:rPr>
        <w:t xml:space="preserve"> заход</w:t>
      </w:r>
      <w:r w:rsidR="008E44D9" w:rsidRPr="00612A0A">
        <w:rPr>
          <w:rFonts w:ascii="Arial" w:hAnsi="Arial" w:cs="Arial"/>
          <w:sz w:val="24"/>
          <w:szCs w:val="24"/>
          <w:lang w:val="uk-UA"/>
        </w:rPr>
        <w:t>у</w:t>
      </w:r>
      <w:r w:rsidR="00202D3D" w:rsidRPr="00612A0A">
        <w:rPr>
          <w:rFonts w:ascii="Arial" w:hAnsi="Arial" w:cs="Arial"/>
          <w:sz w:val="24"/>
          <w:szCs w:val="24"/>
          <w:lang w:val="uk-UA"/>
        </w:rPr>
        <w:t>;</w:t>
      </w:r>
    </w:p>
    <w:p w:rsidR="0006068D" w:rsidRPr="00612A0A" w:rsidRDefault="008E44D9" w:rsidP="004E1DD8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час, місце, </w:t>
      </w:r>
      <w:r w:rsidR="0006068D" w:rsidRPr="00612A0A">
        <w:rPr>
          <w:rFonts w:ascii="Arial" w:hAnsi="Arial" w:cs="Arial"/>
          <w:sz w:val="24"/>
          <w:szCs w:val="24"/>
          <w:lang w:val="uk-UA"/>
        </w:rPr>
        <w:t xml:space="preserve">локації та список учасників </w:t>
      </w:r>
      <w:r w:rsidR="004E1DD8" w:rsidRPr="00612A0A">
        <w:rPr>
          <w:rFonts w:ascii="Arial" w:hAnsi="Arial" w:cs="Arial"/>
          <w:sz w:val="24"/>
          <w:szCs w:val="24"/>
          <w:lang w:val="uk-UA"/>
        </w:rPr>
        <w:t xml:space="preserve">формуються Виконавцем в тісній співпраці із </w:t>
      </w:r>
      <w:r w:rsidR="0006068D" w:rsidRPr="00612A0A">
        <w:rPr>
          <w:rFonts w:ascii="Arial" w:hAnsi="Arial" w:cs="Arial"/>
          <w:sz w:val="24"/>
          <w:szCs w:val="24"/>
          <w:lang w:val="uk-UA"/>
        </w:rPr>
        <w:t>Замовник</w:t>
      </w:r>
      <w:r w:rsidR="004E1DD8" w:rsidRPr="00612A0A">
        <w:rPr>
          <w:rFonts w:ascii="Arial" w:hAnsi="Arial" w:cs="Arial"/>
          <w:sz w:val="24"/>
          <w:szCs w:val="24"/>
          <w:lang w:val="uk-UA"/>
        </w:rPr>
        <w:t>ом</w:t>
      </w:r>
      <w:r w:rsidR="0006068D" w:rsidRPr="00612A0A">
        <w:rPr>
          <w:rFonts w:ascii="Arial" w:hAnsi="Arial" w:cs="Arial"/>
          <w:sz w:val="24"/>
          <w:szCs w:val="24"/>
          <w:lang w:val="uk-UA"/>
        </w:rPr>
        <w:t xml:space="preserve"> за результатами співпраці з органами місцевої влади</w:t>
      </w:r>
      <w:r w:rsidR="004E1DD8" w:rsidRPr="00612A0A">
        <w:rPr>
          <w:rFonts w:ascii="Arial" w:hAnsi="Arial" w:cs="Arial"/>
          <w:sz w:val="24"/>
          <w:szCs w:val="24"/>
          <w:lang w:val="uk-UA"/>
        </w:rPr>
        <w:t>, громадськими активістами</w:t>
      </w:r>
      <w:r w:rsidRPr="00612A0A">
        <w:rPr>
          <w:rFonts w:ascii="Arial" w:hAnsi="Arial" w:cs="Arial"/>
          <w:sz w:val="24"/>
          <w:szCs w:val="24"/>
          <w:lang w:val="uk-UA"/>
        </w:rPr>
        <w:t>, представниками навчальних та інших закладів</w:t>
      </w:r>
      <w:r w:rsidR="004E1DD8" w:rsidRPr="00612A0A">
        <w:rPr>
          <w:rFonts w:ascii="Arial" w:hAnsi="Arial" w:cs="Arial"/>
          <w:sz w:val="24"/>
          <w:szCs w:val="24"/>
          <w:lang w:val="uk-UA"/>
        </w:rPr>
        <w:t xml:space="preserve"> тощо</w:t>
      </w:r>
      <w:r w:rsidR="00BB0C59" w:rsidRPr="00612A0A">
        <w:rPr>
          <w:rFonts w:ascii="Arial" w:hAnsi="Arial" w:cs="Arial"/>
          <w:sz w:val="24"/>
          <w:szCs w:val="24"/>
          <w:lang w:val="uk-UA"/>
        </w:rPr>
        <w:t>.</w:t>
      </w:r>
    </w:p>
    <w:p w:rsidR="00254C4F" w:rsidRPr="00612A0A" w:rsidRDefault="00254C4F" w:rsidP="00254C4F">
      <w:pPr>
        <w:tabs>
          <w:tab w:val="left" w:pos="975"/>
          <w:tab w:val="left" w:pos="2325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9B55FE" w:rsidRPr="00612A0A" w:rsidRDefault="00F04EBE" w:rsidP="009B55FE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612A0A">
        <w:rPr>
          <w:rFonts w:ascii="Arial" w:hAnsi="Arial" w:cs="Arial"/>
          <w:b/>
          <w:bCs/>
          <w:sz w:val="24"/>
          <w:szCs w:val="24"/>
          <w:lang w:val="uk-UA"/>
        </w:rPr>
        <w:t>Кв</w:t>
      </w:r>
      <w:r w:rsidR="009B55FE" w:rsidRPr="00612A0A">
        <w:rPr>
          <w:rFonts w:ascii="Arial" w:hAnsi="Arial" w:cs="Arial"/>
          <w:b/>
          <w:bCs/>
          <w:sz w:val="24"/>
          <w:szCs w:val="24"/>
          <w:lang w:val="uk-UA"/>
        </w:rPr>
        <w:t>аліфікаційні вимоги до</w:t>
      </w:r>
      <w:r w:rsidR="004E1DD8" w:rsidRPr="00612A0A">
        <w:rPr>
          <w:rFonts w:ascii="Arial" w:hAnsi="Arial" w:cs="Arial"/>
          <w:b/>
          <w:bCs/>
          <w:sz w:val="24"/>
          <w:szCs w:val="24"/>
          <w:lang w:val="uk-UA"/>
        </w:rPr>
        <w:t xml:space="preserve"> учасників</w:t>
      </w:r>
      <w:r w:rsidR="009B55FE" w:rsidRPr="00612A0A">
        <w:rPr>
          <w:rFonts w:ascii="Arial" w:hAnsi="Arial" w:cs="Arial"/>
          <w:b/>
          <w:bCs/>
          <w:sz w:val="24"/>
          <w:szCs w:val="24"/>
          <w:lang w:val="uk-UA"/>
        </w:rPr>
        <w:t>:</w:t>
      </w:r>
    </w:p>
    <w:p w:rsidR="009B55FE" w:rsidRPr="00612A0A" w:rsidRDefault="009B55FE" w:rsidP="009B55FE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- Підтверджений досвід  інформаційно-консультативної діяльності</w:t>
      </w:r>
      <w:r w:rsidR="008E44D9" w:rsidRPr="00612A0A">
        <w:rPr>
          <w:rFonts w:ascii="Arial" w:hAnsi="Arial" w:cs="Arial"/>
          <w:sz w:val="24"/>
          <w:szCs w:val="24"/>
          <w:lang w:val="uk-UA"/>
        </w:rPr>
        <w:t>,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 спрямованої на </w:t>
      </w:r>
      <w:r w:rsidR="00F04EBE" w:rsidRPr="00612A0A">
        <w:rPr>
          <w:rFonts w:ascii="Arial" w:hAnsi="Arial" w:cs="Arial"/>
          <w:sz w:val="24"/>
          <w:szCs w:val="24"/>
          <w:lang w:val="uk-UA"/>
        </w:rPr>
        <w:t xml:space="preserve"> розбудову спроможності громад, надавачів освітніх послуг як в формальному, т</w:t>
      </w:r>
      <w:r w:rsidR="001834BA">
        <w:rPr>
          <w:rFonts w:ascii="Arial" w:hAnsi="Arial" w:cs="Arial"/>
          <w:sz w:val="24"/>
          <w:szCs w:val="24"/>
          <w:lang w:val="uk-UA"/>
        </w:rPr>
        <w:t>ак і неформальному середовищі</w:t>
      </w:r>
      <w:r w:rsidR="004E1DD8" w:rsidRPr="00612A0A">
        <w:rPr>
          <w:rFonts w:ascii="Arial" w:hAnsi="Arial" w:cs="Arial"/>
          <w:sz w:val="24"/>
          <w:szCs w:val="24"/>
          <w:lang w:val="uk-UA"/>
        </w:rPr>
        <w:t>;</w:t>
      </w:r>
    </w:p>
    <w:p w:rsidR="009B55FE" w:rsidRPr="00612A0A" w:rsidRDefault="009B55FE" w:rsidP="009B55FE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- Підтверджений досвід у сфері організації </w:t>
      </w:r>
      <w:r w:rsidR="004E1DD8" w:rsidRPr="00612A0A">
        <w:rPr>
          <w:rFonts w:ascii="Arial" w:hAnsi="Arial" w:cs="Arial"/>
          <w:sz w:val="24"/>
          <w:szCs w:val="24"/>
          <w:lang w:val="uk-UA"/>
        </w:rPr>
        <w:t xml:space="preserve">та проведення </w:t>
      </w:r>
      <w:r w:rsidRPr="00612A0A">
        <w:rPr>
          <w:rFonts w:ascii="Arial" w:hAnsi="Arial" w:cs="Arial"/>
          <w:sz w:val="24"/>
          <w:szCs w:val="24"/>
          <w:lang w:val="uk-UA"/>
        </w:rPr>
        <w:t>публічних заходів</w:t>
      </w:r>
      <w:r w:rsidR="004E1DD8" w:rsidRPr="00612A0A">
        <w:rPr>
          <w:rFonts w:ascii="Arial" w:hAnsi="Arial" w:cs="Arial"/>
          <w:sz w:val="24"/>
          <w:szCs w:val="24"/>
          <w:lang w:val="uk-UA"/>
        </w:rPr>
        <w:t xml:space="preserve">, зокрема конференц-послуги  </w:t>
      </w:r>
      <w:r w:rsidR="00BD4515" w:rsidRPr="00612A0A">
        <w:rPr>
          <w:rFonts w:ascii="Arial" w:hAnsi="Arial" w:cs="Arial"/>
          <w:sz w:val="24"/>
          <w:szCs w:val="24"/>
          <w:lang w:val="uk-UA"/>
        </w:rPr>
        <w:t>(</w:t>
      </w:r>
      <w:r w:rsidR="004E1DD8" w:rsidRPr="00612A0A">
        <w:rPr>
          <w:rFonts w:ascii="Arial" w:hAnsi="Arial" w:cs="Arial"/>
          <w:sz w:val="24"/>
          <w:szCs w:val="24"/>
          <w:lang w:val="uk-UA"/>
        </w:rPr>
        <w:t>оренда залу, організація харчування</w:t>
      </w:r>
      <w:r w:rsidR="00BD4515" w:rsidRPr="00612A0A">
        <w:rPr>
          <w:rFonts w:ascii="Arial" w:hAnsi="Arial" w:cs="Arial"/>
          <w:sz w:val="24"/>
          <w:szCs w:val="24"/>
          <w:lang w:val="uk-UA"/>
        </w:rPr>
        <w:t>, проживання, транспортування, тиражування матеріалів, підготовки роздаткових матеріалів</w:t>
      </w:r>
      <w:r w:rsidR="004E1DD8"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r w:rsidR="00BD4515" w:rsidRPr="00612A0A">
        <w:rPr>
          <w:rFonts w:ascii="Arial" w:hAnsi="Arial" w:cs="Arial"/>
          <w:sz w:val="24"/>
          <w:szCs w:val="24"/>
          <w:lang w:val="uk-UA"/>
        </w:rPr>
        <w:t xml:space="preserve">тощо  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(щонайменше </w:t>
      </w:r>
      <w:r w:rsidR="008E44D9" w:rsidRPr="00612A0A">
        <w:rPr>
          <w:rFonts w:ascii="Arial" w:hAnsi="Arial" w:cs="Arial"/>
          <w:sz w:val="24"/>
          <w:szCs w:val="24"/>
          <w:lang w:val="uk-UA"/>
        </w:rPr>
        <w:t>3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 заходи)</w:t>
      </w:r>
      <w:r w:rsidR="004E1DD8" w:rsidRPr="00612A0A">
        <w:rPr>
          <w:rFonts w:ascii="Arial" w:hAnsi="Arial" w:cs="Arial"/>
          <w:sz w:val="24"/>
          <w:szCs w:val="24"/>
          <w:lang w:val="uk-UA"/>
        </w:rPr>
        <w:t>;</w:t>
      </w:r>
    </w:p>
    <w:p w:rsidR="004E1DD8" w:rsidRPr="00612A0A" w:rsidRDefault="004E1DD8" w:rsidP="004E1DD8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-  </w:t>
      </w:r>
      <w:r w:rsidR="00BD4515" w:rsidRPr="00612A0A">
        <w:rPr>
          <w:rFonts w:ascii="Arial" w:hAnsi="Arial" w:cs="Arial"/>
          <w:sz w:val="24"/>
          <w:szCs w:val="24"/>
          <w:lang w:val="uk-UA"/>
        </w:rPr>
        <w:t>Р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езюме  </w:t>
      </w:r>
      <w:r w:rsidR="00DC7A37" w:rsidRPr="00612A0A">
        <w:rPr>
          <w:rFonts w:ascii="Arial" w:hAnsi="Arial" w:cs="Arial"/>
          <w:sz w:val="24"/>
          <w:szCs w:val="24"/>
          <w:lang w:val="uk-UA"/>
        </w:rPr>
        <w:t>3</w:t>
      </w:r>
      <w:r w:rsidR="00BD4515" w:rsidRPr="00612A0A">
        <w:rPr>
          <w:rFonts w:ascii="Arial" w:hAnsi="Arial" w:cs="Arial"/>
          <w:sz w:val="24"/>
          <w:szCs w:val="24"/>
          <w:lang w:val="uk-UA"/>
        </w:rPr>
        <w:t>-ох</w:t>
      </w:r>
      <w:r w:rsidR="008E44D9" w:rsidRPr="00612A0A">
        <w:rPr>
          <w:rFonts w:ascii="Arial" w:hAnsi="Arial" w:cs="Arial"/>
          <w:sz w:val="24"/>
          <w:szCs w:val="24"/>
          <w:lang w:val="uk-UA"/>
        </w:rPr>
        <w:t xml:space="preserve"> ключових</w:t>
      </w:r>
      <w:r w:rsidR="00BD4515"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r w:rsidRPr="00612A0A">
        <w:rPr>
          <w:rFonts w:ascii="Arial" w:hAnsi="Arial" w:cs="Arial"/>
          <w:sz w:val="24"/>
          <w:szCs w:val="24"/>
          <w:lang w:val="uk-UA"/>
        </w:rPr>
        <w:t>експертів</w:t>
      </w:r>
      <w:r w:rsidR="00DC7A37" w:rsidRPr="00612A0A">
        <w:rPr>
          <w:rFonts w:ascii="Arial" w:hAnsi="Arial" w:cs="Arial"/>
          <w:sz w:val="24"/>
          <w:szCs w:val="24"/>
          <w:lang w:val="uk-UA"/>
        </w:rPr>
        <w:t>/тренерів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, можуть входити як представники організації  чи установи заявника, так і залучені експерти.  </w:t>
      </w:r>
    </w:p>
    <w:p w:rsidR="00BD4515" w:rsidRPr="00612A0A" w:rsidRDefault="00BD4515" w:rsidP="009B55FE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ab/>
        <w:t>Інформація подається у формі листа</w:t>
      </w:r>
      <w:r w:rsidR="0078736A" w:rsidRPr="00612A0A">
        <w:rPr>
          <w:rFonts w:ascii="Arial" w:hAnsi="Arial" w:cs="Arial"/>
          <w:sz w:val="24"/>
          <w:szCs w:val="24"/>
          <w:lang w:val="uk-UA"/>
        </w:rPr>
        <w:t>.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9B55FE" w:rsidRPr="00612A0A" w:rsidRDefault="00C728E5" w:rsidP="009B55FE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612A0A">
        <w:rPr>
          <w:rFonts w:ascii="Arial" w:hAnsi="Arial" w:cs="Arial"/>
          <w:b/>
          <w:bCs/>
          <w:sz w:val="24"/>
          <w:szCs w:val="24"/>
          <w:lang w:val="uk-UA"/>
        </w:rPr>
        <w:t xml:space="preserve">Цінова пропозиція </w:t>
      </w:r>
    </w:p>
    <w:p w:rsidR="00C728E5" w:rsidRPr="00612A0A" w:rsidRDefault="00C728E5" w:rsidP="009B55FE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У</w:t>
      </w:r>
      <w:r w:rsidR="009B55FE" w:rsidRPr="00612A0A">
        <w:rPr>
          <w:rFonts w:ascii="Arial" w:hAnsi="Arial" w:cs="Arial"/>
          <w:sz w:val="24"/>
          <w:szCs w:val="24"/>
          <w:lang w:val="uk-UA"/>
        </w:rPr>
        <w:t>сі видатки, які стосуються проживання, харчування, роздаткових матеріалів на усі заходи, оренди приміщень на заходи, транспортні витрати учасників заходів, а також гонорар</w:t>
      </w:r>
      <w:r w:rsidR="00BB0C59" w:rsidRPr="00612A0A">
        <w:rPr>
          <w:rFonts w:ascii="Arial" w:hAnsi="Arial" w:cs="Arial"/>
          <w:sz w:val="24"/>
          <w:szCs w:val="24"/>
          <w:lang w:val="uk-UA"/>
        </w:rPr>
        <w:t xml:space="preserve">и 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експертів </w:t>
      </w:r>
      <w:r w:rsidR="009B55FE" w:rsidRPr="00612A0A">
        <w:rPr>
          <w:rFonts w:ascii="Arial" w:hAnsi="Arial" w:cs="Arial"/>
          <w:sz w:val="24"/>
          <w:szCs w:val="24"/>
          <w:lang w:val="uk-UA"/>
        </w:rPr>
        <w:t xml:space="preserve">мають бути включені до цінової пропозиції .  </w:t>
      </w:r>
    </w:p>
    <w:p w:rsidR="00C728E5" w:rsidRPr="00612A0A" w:rsidRDefault="009B55FE" w:rsidP="009B55FE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Розраховуючи витрати на виконання завдань</w:t>
      </w:r>
      <w:r w:rsidR="00C728E5" w:rsidRPr="00612A0A">
        <w:rPr>
          <w:rFonts w:ascii="Arial" w:hAnsi="Arial" w:cs="Arial"/>
          <w:sz w:val="24"/>
          <w:szCs w:val="24"/>
          <w:lang w:val="uk-UA"/>
        </w:rPr>
        <w:t>, Виконавець враховує вимоги, передбачені цим технічним завданням.</w:t>
      </w:r>
    </w:p>
    <w:p w:rsidR="0078551B" w:rsidRDefault="0078551B" w:rsidP="007C1A15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uk-UA"/>
        </w:rPr>
      </w:pPr>
    </w:p>
    <w:p w:rsidR="007C1A15" w:rsidRPr="00612A0A" w:rsidRDefault="007C1A15" w:rsidP="007C1A15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uk-UA"/>
        </w:rPr>
      </w:pPr>
      <w:r w:rsidRPr="00612A0A">
        <w:rPr>
          <w:rFonts w:ascii="Arial" w:hAnsi="Arial" w:cs="Arial"/>
          <w:bCs/>
          <w:sz w:val="24"/>
          <w:szCs w:val="24"/>
          <w:lang w:val="uk-UA"/>
        </w:rPr>
        <w:t>Цінова пропозиція має бути прийнятна до бюджету Програми, економічно релевантна</w:t>
      </w:r>
    </w:p>
    <w:p w:rsidR="00C728E5" w:rsidRPr="00612A0A" w:rsidRDefault="00C728E5" w:rsidP="00C728E5">
      <w:pPr>
        <w:pStyle w:val="a5"/>
        <w:tabs>
          <w:tab w:val="left" w:pos="851"/>
        </w:tabs>
        <w:spacing w:line="240" w:lineRule="auto"/>
        <w:ind w:left="-284" w:firstLine="567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612A0A">
        <w:rPr>
          <w:rFonts w:ascii="Arial" w:hAnsi="Arial" w:cs="Arial"/>
          <w:b/>
          <w:sz w:val="24"/>
          <w:szCs w:val="24"/>
          <w:lang w:val="uk-UA"/>
        </w:rPr>
        <w:t>Цінова пропозиція має включати, але не обмежуючись</w:t>
      </w:r>
      <w:r w:rsidR="007C77C3" w:rsidRPr="00612A0A">
        <w:rPr>
          <w:rFonts w:ascii="Arial" w:hAnsi="Arial" w:cs="Arial"/>
          <w:b/>
          <w:sz w:val="24"/>
          <w:szCs w:val="24"/>
          <w:lang w:val="uk-UA"/>
        </w:rPr>
        <w:t xml:space="preserve"> із розрахунку</w:t>
      </w:r>
      <w:r w:rsidRPr="00612A0A">
        <w:rPr>
          <w:rFonts w:ascii="Arial" w:hAnsi="Arial" w:cs="Arial"/>
          <w:b/>
          <w:sz w:val="24"/>
          <w:szCs w:val="24"/>
          <w:lang w:val="uk-UA"/>
        </w:rPr>
        <w:t>:</w:t>
      </w:r>
    </w:p>
    <w:p w:rsidR="00C728E5" w:rsidRPr="00612A0A" w:rsidRDefault="00C728E5" w:rsidP="00C728E5">
      <w:pPr>
        <w:pStyle w:val="a5"/>
        <w:tabs>
          <w:tab w:val="left" w:pos="851"/>
        </w:tabs>
        <w:spacing w:line="240" w:lineRule="auto"/>
        <w:ind w:left="-284" w:firstLine="567"/>
        <w:jc w:val="both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680"/>
        <w:gridCol w:w="1250"/>
        <w:gridCol w:w="1344"/>
        <w:gridCol w:w="1418"/>
        <w:gridCol w:w="1878"/>
      </w:tblGrid>
      <w:tr w:rsidR="007C1A15" w:rsidRPr="00612A0A" w:rsidTr="0078551B">
        <w:trPr>
          <w:trHeight w:hRule="exact" w:val="85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Найменування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52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Одиниця виміру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Ціна одиниці,</w:t>
            </w:r>
            <w:r w:rsidR="00DC7A37"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 без ПДВ, грн.</w:t>
            </w: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64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Вартість, </w:t>
            </w:r>
            <w:r w:rsidR="00DC7A37"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без </w:t>
            </w: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ПД</w:t>
            </w:r>
            <w:r w:rsidR="00DC7A37"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 xml:space="preserve">В, грн. </w:t>
            </w:r>
          </w:p>
        </w:tc>
      </w:tr>
      <w:tr w:rsidR="007C1A15" w:rsidRPr="00612A0A" w:rsidTr="0078551B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28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 xml:space="preserve">Тренер </w:t>
            </w:r>
            <w:r w:rsidR="00DC7A37" w:rsidRPr="00612A0A">
              <w:rPr>
                <w:color w:val="000000"/>
                <w:sz w:val="24"/>
                <w:szCs w:val="24"/>
                <w:lang w:val="uk-UA" w:eastAsia="uk-UA" w:bidi="uk-UA"/>
              </w:rPr>
              <w:t>(3 особи)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DC7A37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днів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DC7A37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1A15" w:rsidRPr="00612A0A" w:rsidRDefault="007C1A15" w:rsidP="0062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A15" w:rsidRPr="00612A0A" w:rsidTr="0078551B">
        <w:trPr>
          <w:trHeight w:hRule="exact" w:val="103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28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Оренда конференц-залу та майданчиків для роботи у групах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години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DC7A37" w:rsidP="006207FD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1A15" w:rsidRPr="00612A0A" w:rsidRDefault="007C1A15" w:rsidP="006207FD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7C1A15" w:rsidRPr="00612A0A" w:rsidTr="0078551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28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28" w:lineRule="auto"/>
              <w:ind w:firstLine="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Транспортування учасників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учасники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7C1A15" w:rsidRPr="00612A0A" w:rsidTr="0078551B">
        <w:trPr>
          <w:trHeight w:hRule="exact" w:val="66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28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64" w:lineRule="auto"/>
              <w:ind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Проживання учасників 1 добу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учасники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7C1A15" w:rsidRPr="00612A0A" w:rsidTr="0078551B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28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64" w:lineRule="auto"/>
              <w:ind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Харчування (кава-пауза)</w:t>
            </w:r>
            <w:r w:rsidR="00B954B1">
              <w:rPr>
                <w:color w:val="000000"/>
                <w:sz w:val="24"/>
                <w:szCs w:val="24"/>
                <w:lang w:val="uk-UA" w:eastAsia="uk-UA" w:bidi="uk-UA"/>
              </w:rPr>
              <w:t>, день 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учасники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7C1A15" w:rsidRPr="00612A0A" w:rsidTr="0078551B">
        <w:trPr>
          <w:trHeight w:hRule="exact" w:val="53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28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Харчування (обід)</w:t>
            </w:r>
            <w:r w:rsidR="00B954B1">
              <w:rPr>
                <w:color w:val="000000"/>
                <w:sz w:val="24"/>
                <w:szCs w:val="24"/>
                <w:lang w:val="uk-UA" w:eastAsia="uk-UA" w:bidi="uk-UA"/>
              </w:rPr>
              <w:t>, день 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учасники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7C1A15" w:rsidRPr="00612A0A" w:rsidTr="0078551B">
        <w:trPr>
          <w:trHeight w:hRule="exact" w:val="74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28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Харчування (вечеря)</w:t>
            </w:r>
            <w:r w:rsidR="00B954B1">
              <w:rPr>
                <w:color w:val="000000"/>
                <w:sz w:val="24"/>
                <w:szCs w:val="24"/>
                <w:lang w:val="uk-UA" w:eastAsia="uk-UA" w:bidi="uk-UA"/>
              </w:rPr>
              <w:t>, день 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учасники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8551B" w:rsidP="006207FD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7C1A15" w:rsidRPr="00612A0A" w:rsidTr="0078551B">
        <w:trPr>
          <w:trHeight w:hRule="exact" w:val="54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28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8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Харчування (сніданок)</w:t>
            </w:r>
            <w:r w:rsidR="00B954B1">
              <w:rPr>
                <w:color w:val="000000"/>
                <w:sz w:val="24"/>
                <w:szCs w:val="24"/>
                <w:lang w:val="uk-UA" w:eastAsia="uk-UA" w:bidi="uk-UA"/>
              </w:rPr>
              <w:t xml:space="preserve">, день 2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учасники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1A15" w:rsidRPr="00612A0A" w:rsidRDefault="007C1A15" w:rsidP="006207F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B954B1" w:rsidRPr="00612A0A" w:rsidTr="0078551B">
        <w:trPr>
          <w:trHeight w:hRule="exact" w:val="54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spacing w:after="0" w:line="240" w:lineRule="auto"/>
              <w:ind w:firstLine="280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9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spacing w:after="0" w:line="240" w:lineRule="auto"/>
              <w:ind w:firstLine="0"/>
              <w:rPr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Харчування (обід), день 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учасники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B954B1" w:rsidRPr="00612A0A" w:rsidTr="0078551B">
        <w:trPr>
          <w:trHeight w:hRule="exact" w:val="13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10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tabs>
                <w:tab w:val="left" w:pos="1574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 xml:space="preserve">Друк </w:t>
            </w:r>
            <w:r w:rsidRPr="00612A0A">
              <w:rPr>
                <w:rFonts w:eastAsia="Microsoft Sans Serif"/>
                <w:color w:val="000000"/>
                <w:sz w:val="24"/>
                <w:szCs w:val="24"/>
                <w:lang w:val="uk-UA" w:eastAsia="uk-UA" w:bidi="uk-UA"/>
              </w:rPr>
              <w:t>роздаткових</w:t>
            </w:r>
          </w:p>
          <w:p w:rsidR="00B954B1" w:rsidRPr="00612A0A" w:rsidRDefault="00B954B1" w:rsidP="00B954B1">
            <w:pPr>
              <w:pStyle w:val="ad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матеріалів, канцелярське приладдя,  та інші супровідні матеріали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2A0A">
              <w:rPr>
                <w:color w:val="000000"/>
                <w:sz w:val="24"/>
                <w:szCs w:val="24"/>
                <w:lang w:val="uk-UA" w:eastAsia="uk-UA" w:bidi="uk-UA"/>
              </w:rPr>
              <w:t>учасники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 w:bidi="uk-UA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B954B1" w:rsidRPr="00612A0A" w:rsidTr="0078551B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tabs>
                <w:tab w:val="left" w:pos="1262"/>
                <w:tab w:val="left" w:pos="2669"/>
              </w:tabs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РАЗОМ</w:t>
            </w:r>
            <w:r w:rsidRPr="00612A0A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ab/>
            </w:r>
          </w:p>
          <w:p w:rsidR="00B954B1" w:rsidRPr="00612A0A" w:rsidRDefault="00B954B1" w:rsidP="00B954B1">
            <w:pPr>
              <w:pStyle w:val="ad"/>
              <w:spacing w:after="0" w:line="228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pStyle w:val="ad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4B1" w:rsidRPr="00612A0A" w:rsidRDefault="00B954B1" w:rsidP="00B954B1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C728E5" w:rsidRPr="00612A0A" w:rsidRDefault="00C728E5" w:rsidP="007C77C3">
      <w:pPr>
        <w:pStyle w:val="a5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uk-UA"/>
        </w:rPr>
      </w:pPr>
    </w:p>
    <w:p w:rsidR="00BB0C59" w:rsidRPr="00612A0A" w:rsidRDefault="001834BA" w:rsidP="0078736A">
      <w:pPr>
        <w:spacing w:line="240" w:lineRule="auto"/>
        <w:ind w:left="-284" w:firstLine="567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 xml:space="preserve">  </w:t>
      </w:r>
      <w:r w:rsidR="0078736A" w:rsidRPr="00612A0A">
        <w:rPr>
          <w:rFonts w:ascii="Arial" w:hAnsi="Arial" w:cs="Arial"/>
          <w:b/>
          <w:bCs/>
          <w:sz w:val="24"/>
          <w:szCs w:val="24"/>
          <w:lang w:val="uk-UA"/>
        </w:rPr>
        <w:t xml:space="preserve">Очікуваний термін надання послуг:  </w:t>
      </w:r>
      <w:r w:rsidR="00BB0C59" w:rsidRPr="00612A0A">
        <w:rPr>
          <w:rFonts w:ascii="Arial" w:hAnsi="Arial" w:cs="Arial"/>
          <w:sz w:val="24"/>
          <w:szCs w:val="24"/>
          <w:lang w:val="uk-UA"/>
        </w:rPr>
        <w:t xml:space="preserve">з </w:t>
      </w:r>
      <w:r w:rsidR="008E44D9" w:rsidRPr="00612A0A">
        <w:rPr>
          <w:rFonts w:ascii="Arial" w:hAnsi="Arial" w:cs="Arial"/>
          <w:sz w:val="24"/>
          <w:szCs w:val="24"/>
          <w:lang w:val="uk-UA"/>
        </w:rPr>
        <w:t>1</w:t>
      </w:r>
      <w:r w:rsidR="00BB0C59" w:rsidRPr="00612A0A">
        <w:rPr>
          <w:rFonts w:ascii="Arial" w:hAnsi="Arial" w:cs="Arial"/>
          <w:sz w:val="24"/>
          <w:szCs w:val="24"/>
          <w:lang w:val="uk-UA"/>
        </w:rPr>
        <w:t xml:space="preserve"> </w:t>
      </w:r>
      <w:r w:rsidR="008E44D9" w:rsidRPr="00612A0A">
        <w:rPr>
          <w:rFonts w:ascii="Arial" w:hAnsi="Arial" w:cs="Arial"/>
          <w:sz w:val="24"/>
          <w:szCs w:val="24"/>
          <w:lang w:val="uk-UA"/>
        </w:rPr>
        <w:t>жовтня</w:t>
      </w:r>
      <w:r w:rsidR="00BB0C59" w:rsidRPr="00612A0A">
        <w:rPr>
          <w:rFonts w:ascii="Arial" w:hAnsi="Arial" w:cs="Arial"/>
          <w:sz w:val="24"/>
          <w:szCs w:val="24"/>
          <w:lang w:val="uk-UA"/>
        </w:rPr>
        <w:t xml:space="preserve"> по </w:t>
      </w:r>
      <w:r>
        <w:rPr>
          <w:rFonts w:ascii="Arial" w:hAnsi="Arial" w:cs="Arial"/>
          <w:sz w:val="24"/>
          <w:szCs w:val="24"/>
          <w:lang w:val="uk-UA"/>
        </w:rPr>
        <w:t>20</w:t>
      </w:r>
      <w:r w:rsidR="008E44D9" w:rsidRPr="00612A0A">
        <w:rPr>
          <w:rFonts w:ascii="Arial" w:hAnsi="Arial" w:cs="Arial"/>
          <w:sz w:val="24"/>
          <w:szCs w:val="24"/>
          <w:lang w:val="uk-UA"/>
        </w:rPr>
        <w:t xml:space="preserve"> жовтня </w:t>
      </w:r>
      <w:r w:rsidR="00BB0C59" w:rsidRPr="00612A0A">
        <w:rPr>
          <w:rFonts w:ascii="Arial" w:hAnsi="Arial" w:cs="Arial"/>
          <w:sz w:val="24"/>
          <w:szCs w:val="24"/>
          <w:lang w:val="uk-UA"/>
        </w:rPr>
        <w:t>202</w:t>
      </w:r>
      <w:r w:rsidR="008E44D9" w:rsidRPr="00612A0A">
        <w:rPr>
          <w:rFonts w:ascii="Arial" w:hAnsi="Arial" w:cs="Arial"/>
          <w:sz w:val="24"/>
          <w:szCs w:val="24"/>
          <w:lang w:val="uk-UA"/>
        </w:rPr>
        <w:t xml:space="preserve">4 </w:t>
      </w:r>
      <w:r w:rsidR="00BB0C59" w:rsidRPr="00612A0A">
        <w:rPr>
          <w:rFonts w:ascii="Arial" w:hAnsi="Arial" w:cs="Arial"/>
          <w:sz w:val="24"/>
          <w:szCs w:val="24"/>
          <w:lang w:val="uk-UA"/>
        </w:rPr>
        <w:t xml:space="preserve">року </w:t>
      </w:r>
    </w:p>
    <w:p w:rsidR="001834BA" w:rsidRDefault="00BB0C59" w:rsidP="00BB0C59">
      <w:pPr>
        <w:tabs>
          <w:tab w:val="left" w:pos="851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bookmarkStart w:id="2" w:name="_Hlk154159601"/>
      <w:r w:rsidRPr="00612A0A">
        <w:rPr>
          <w:rFonts w:ascii="Arial" w:hAnsi="Arial" w:cs="Arial"/>
          <w:b/>
          <w:bCs/>
          <w:sz w:val="24"/>
          <w:szCs w:val="24"/>
          <w:lang w:val="uk-UA"/>
        </w:rPr>
        <w:t xml:space="preserve">    </w:t>
      </w:r>
    </w:p>
    <w:p w:rsidR="0078736A" w:rsidRPr="00612A0A" w:rsidRDefault="001834BA" w:rsidP="00BB0C59">
      <w:pPr>
        <w:tabs>
          <w:tab w:val="left" w:pos="851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24"/>
          <w:szCs w:val="24"/>
          <w:lang w:val="uk-UA"/>
        </w:rPr>
        <w:t xml:space="preserve">        </w:t>
      </w:r>
      <w:r w:rsidR="0078736A" w:rsidRPr="00612A0A">
        <w:rPr>
          <w:rFonts w:ascii="Arial" w:hAnsi="Arial" w:cs="Arial"/>
          <w:b/>
          <w:bCs/>
          <w:sz w:val="24"/>
          <w:szCs w:val="24"/>
          <w:lang w:val="uk-UA"/>
        </w:rPr>
        <w:t>Термін та умови подачі пропозицій:</w:t>
      </w:r>
    </w:p>
    <w:p w:rsidR="0078736A" w:rsidRPr="00612A0A" w:rsidRDefault="0078736A" w:rsidP="0078736A">
      <w:pPr>
        <w:tabs>
          <w:tab w:val="left" w:pos="851"/>
        </w:tabs>
        <w:spacing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val="uk-UA"/>
        </w:rPr>
      </w:pPr>
      <w:r w:rsidRPr="00612A0A">
        <w:rPr>
          <w:rFonts w:ascii="Arial" w:hAnsi="Arial" w:cs="Arial"/>
          <w:bCs/>
          <w:sz w:val="24"/>
          <w:szCs w:val="24"/>
          <w:lang w:val="uk-UA"/>
        </w:rPr>
        <w:t xml:space="preserve">Пропозиції приймаються до </w:t>
      </w:r>
      <w:r w:rsidR="001834BA">
        <w:rPr>
          <w:rFonts w:ascii="Arial" w:hAnsi="Arial" w:cs="Arial"/>
          <w:bCs/>
          <w:sz w:val="24"/>
          <w:szCs w:val="24"/>
          <w:lang w:val="uk-UA"/>
        </w:rPr>
        <w:t>26</w:t>
      </w:r>
      <w:r w:rsidRPr="00612A0A">
        <w:rPr>
          <w:rFonts w:ascii="Arial" w:hAnsi="Arial" w:cs="Arial"/>
          <w:bCs/>
          <w:sz w:val="24"/>
          <w:szCs w:val="24"/>
          <w:lang w:val="uk-UA"/>
        </w:rPr>
        <w:t xml:space="preserve"> </w:t>
      </w:r>
      <w:r w:rsidR="008E44D9" w:rsidRPr="00612A0A">
        <w:rPr>
          <w:rFonts w:ascii="Arial" w:hAnsi="Arial" w:cs="Arial"/>
          <w:bCs/>
          <w:sz w:val="24"/>
          <w:szCs w:val="24"/>
          <w:lang w:val="uk-UA"/>
        </w:rPr>
        <w:t xml:space="preserve">вересня </w:t>
      </w:r>
      <w:r w:rsidRPr="00612A0A">
        <w:rPr>
          <w:rFonts w:ascii="Arial" w:hAnsi="Arial" w:cs="Arial"/>
          <w:bCs/>
          <w:sz w:val="24"/>
          <w:szCs w:val="24"/>
          <w:lang w:val="uk-UA"/>
        </w:rPr>
        <w:t>202</w:t>
      </w:r>
      <w:r w:rsidR="008E44D9" w:rsidRPr="00612A0A">
        <w:rPr>
          <w:rFonts w:ascii="Arial" w:hAnsi="Arial" w:cs="Arial"/>
          <w:bCs/>
          <w:sz w:val="24"/>
          <w:szCs w:val="24"/>
          <w:lang w:val="uk-UA"/>
        </w:rPr>
        <w:t>4</w:t>
      </w:r>
      <w:r w:rsidRPr="00612A0A">
        <w:rPr>
          <w:rFonts w:ascii="Arial" w:hAnsi="Arial" w:cs="Arial"/>
          <w:bCs/>
          <w:sz w:val="24"/>
          <w:szCs w:val="24"/>
          <w:lang w:val="uk-UA"/>
        </w:rPr>
        <w:t xml:space="preserve"> року 23.00 включно, електронною поштою на адресу: </w:t>
      </w:r>
      <w:hyperlink r:id="rId7" w:history="1">
        <w:r w:rsidRPr="00612A0A">
          <w:rPr>
            <w:rStyle w:val="ac"/>
            <w:rFonts w:ascii="Arial" w:hAnsi="Arial" w:cs="Arial"/>
            <w:bCs/>
            <w:sz w:val="24"/>
            <w:szCs w:val="24"/>
            <w:lang w:val="uk-UA"/>
          </w:rPr>
          <w:t>tender@wcu.org.ua</w:t>
        </w:r>
      </w:hyperlink>
      <w:r w:rsidRPr="00612A0A">
        <w:rPr>
          <w:rFonts w:ascii="Arial" w:hAnsi="Arial" w:cs="Arial"/>
          <w:bCs/>
          <w:sz w:val="24"/>
          <w:szCs w:val="24"/>
          <w:lang w:val="uk-UA"/>
        </w:rPr>
        <w:t xml:space="preserve"> або за </w:t>
      </w:r>
      <w:proofErr w:type="spellStart"/>
      <w:r w:rsidRPr="00612A0A">
        <w:rPr>
          <w:rFonts w:ascii="Arial" w:hAnsi="Arial" w:cs="Arial"/>
          <w:bCs/>
          <w:sz w:val="24"/>
          <w:szCs w:val="24"/>
          <w:lang w:val="uk-UA"/>
        </w:rPr>
        <w:t>адресою</w:t>
      </w:r>
      <w:proofErr w:type="spellEnd"/>
      <w:r w:rsidRPr="00612A0A">
        <w:rPr>
          <w:rFonts w:ascii="Arial" w:hAnsi="Arial" w:cs="Arial"/>
          <w:bCs/>
          <w:sz w:val="24"/>
          <w:szCs w:val="24"/>
          <w:lang w:val="uk-UA"/>
        </w:rPr>
        <w:t xml:space="preserve"> офісу </w:t>
      </w:r>
      <w:r w:rsidRPr="00612A0A">
        <w:rPr>
          <w:rFonts w:ascii="Arial" w:hAnsi="Arial" w:cs="Arial"/>
          <w:bCs/>
          <w:sz w:val="24"/>
          <w:szCs w:val="24"/>
          <w:lang w:val="uk-UA"/>
        </w:rPr>
        <w:br/>
        <w:t xml:space="preserve">ГО «Жінки і діти України – наше майбутнє»: 08112, Київська обл., Бучанський р-н, с. </w:t>
      </w:r>
      <w:proofErr w:type="spellStart"/>
      <w:r w:rsidRPr="00612A0A">
        <w:rPr>
          <w:rFonts w:ascii="Arial" w:hAnsi="Arial" w:cs="Arial"/>
          <w:bCs/>
          <w:sz w:val="24"/>
          <w:szCs w:val="24"/>
          <w:lang w:val="uk-UA"/>
        </w:rPr>
        <w:t>Дмитрівка</w:t>
      </w:r>
      <w:proofErr w:type="spellEnd"/>
      <w:r w:rsidRPr="00612A0A">
        <w:rPr>
          <w:rFonts w:ascii="Arial" w:hAnsi="Arial" w:cs="Arial"/>
          <w:bCs/>
          <w:sz w:val="24"/>
          <w:szCs w:val="24"/>
          <w:lang w:val="uk-UA"/>
        </w:rPr>
        <w:t>, вул. Соборна, 35.</w:t>
      </w:r>
    </w:p>
    <w:bookmarkEnd w:id="2"/>
    <w:p w:rsidR="00BB0C59" w:rsidRPr="00612A0A" w:rsidRDefault="00BB0C59" w:rsidP="0078736A">
      <w:pPr>
        <w:tabs>
          <w:tab w:val="left" w:pos="851"/>
        </w:tabs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</w:p>
    <w:p w:rsidR="0078736A" w:rsidRPr="00612A0A" w:rsidRDefault="0078736A" w:rsidP="0078736A">
      <w:pPr>
        <w:tabs>
          <w:tab w:val="left" w:pos="851"/>
        </w:tabs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612A0A">
        <w:rPr>
          <w:rFonts w:ascii="Arial" w:hAnsi="Arial" w:cs="Arial"/>
          <w:b/>
          <w:bCs/>
          <w:sz w:val="24"/>
          <w:szCs w:val="24"/>
          <w:lang w:val="uk-UA"/>
        </w:rPr>
        <w:t>Критерії оцінювання та визначення переможців:</w:t>
      </w:r>
    </w:p>
    <w:p w:rsidR="0078736A" w:rsidRPr="00612A0A" w:rsidRDefault="0078736A" w:rsidP="0078736A">
      <w:pPr>
        <w:tabs>
          <w:tab w:val="left" w:pos="851"/>
        </w:tabs>
        <w:spacing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shd w:val="clear" w:color="auto" w:fill="FFFFFF"/>
          <w:lang w:val="uk-UA"/>
        </w:rPr>
        <w:t>Пропозиції будуть оцінені на основі відповідності кваліфікаційним вимогам  та ціновій пропозиції.</w:t>
      </w:r>
      <w:r w:rsidRPr="00612A0A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  <w:r w:rsidRPr="00612A0A">
        <w:rPr>
          <w:rFonts w:ascii="Arial" w:hAnsi="Arial" w:cs="Arial"/>
          <w:bCs/>
          <w:sz w:val="24"/>
          <w:szCs w:val="24"/>
          <w:lang w:val="uk-UA"/>
        </w:rPr>
        <w:t xml:space="preserve">До розгляду будуть допущені лише ті пропозиції, які будуть відповідати кваліфікаційним вимогам: </w:t>
      </w:r>
    </w:p>
    <w:p w:rsidR="007C1A15" w:rsidRPr="00612A0A" w:rsidRDefault="007C1A15" w:rsidP="007C1A15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- Підтверджений досвід  інформаційно-консультативної діяльності, спрямованої на  розбудову спроможності громад, надавачів освітніх послуг як в формальному, так і неформальном</w:t>
      </w:r>
      <w:r w:rsidR="001834BA">
        <w:rPr>
          <w:rFonts w:ascii="Arial" w:hAnsi="Arial" w:cs="Arial"/>
          <w:sz w:val="24"/>
          <w:szCs w:val="24"/>
          <w:lang w:val="uk-UA"/>
        </w:rPr>
        <w:t>у середовищі</w:t>
      </w:r>
      <w:r w:rsidRPr="00612A0A">
        <w:rPr>
          <w:rFonts w:ascii="Arial" w:hAnsi="Arial" w:cs="Arial"/>
          <w:sz w:val="24"/>
          <w:szCs w:val="24"/>
          <w:lang w:val="uk-UA"/>
        </w:rPr>
        <w:t>;</w:t>
      </w:r>
    </w:p>
    <w:p w:rsidR="007C1A15" w:rsidRPr="00612A0A" w:rsidRDefault="007C1A15" w:rsidP="007C1A15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>- Підтверджений досвід у сфері організації та проведення публічних заходів, зокрема конференц-послуги  (оренда залу, організація харчування, проживання, транспортування, тиражування матеріалів, підготовки роздаткових матеріалів тощо  (щонайменше 3 заходи);</w:t>
      </w:r>
    </w:p>
    <w:p w:rsidR="007C1A15" w:rsidRPr="00612A0A" w:rsidRDefault="007C1A15" w:rsidP="007C1A15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612A0A">
        <w:rPr>
          <w:rFonts w:ascii="Arial" w:hAnsi="Arial" w:cs="Arial"/>
          <w:sz w:val="24"/>
          <w:szCs w:val="24"/>
          <w:lang w:val="uk-UA"/>
        </w:rPr>
        <w:t xml:space="preserve">-  Резюме  </w:t>
      </w:r>
      <w:r w:rsidR="00B954B1">
        <w:rPr>
          <w:rFonts w:ascii="Arial" w:hAnsi="Arial" w:cs="Arial"/>
          <w:sz w:val="24"/>
          <w:szCs w:val="24"/>
          <w:lang w:val="uk-UA"/>
        </w:rPr>
        <w:t>3</w:t>
      </w:r>
      <w:r w:rsidRPr="00612A0A">
        <w:rPr>
          <w:rFonts w:ascii="Arial" w:hAnsi="Arial" w:cs="Arial"/>
          <w:sz w:val="24"/>
          <w:szCs w:val="24"/>
          <w:lang w:val="uk-UA"/>
        </w:rPr>
        <w:t xml:space="preserve">-ох експертів, можуть входити як представники організації  чи установи заявника, так і залучені експерти.  </w:t>
      </w:r>
    </w:p>
    <w:p w:rsidR="007C1A15" w:rsidRPr="00612A0A" w:rsidRDefault="007C1A15" w:rsidP="0078736A">
      <w:pPr>
        <w:tabs>
          <w:tab w:val="left" w:pos="851"/>
        </w:tabs>
        <w:spacing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val="uk-UA"/>
        </w:rPr>
      </w:pPr>
    </w:p>
    <w:p w:rsidR="0078736A" w:rsidRPr="00612A0A" w:rsidRDefault="001834BA" w:rsidP="001834BA">
      <w:pPr>
        <w:tabs>
          <w:tab w:val="left" w:pos="851"/>
        </w:tabs>
        <w:spacing w:line="240" w:lineRule="auto"/>
        <w:jc w:val="both"/>
        <w:rPr>
          <w:rFonts w:ascii="Arial" w:hAnsi="Arial" w:cs="Arial"/>
          <w:bCs/>
          <w:sz w:val="24"/>
          <w:szCs w:val="24"/>
          <w:lang w:val="uk-UA"/>
        </w:rPr>
      </w:pPr>
      <w:r>
        <w:rPr>
          <w:rFonts w:ascii="Arial" w:hAnsi="Arial" w:cs="Arial"/>
          <w:bCs/>
          <w:sz w:val="24"/>
          <w:szCs w:val="24"/>
          <w:lang w:val="uk-UA"/>
        </w:rPr>
        <w:t xml:space="preserve">    </w:t>
      </w:r>
      <w:r w:rsidR="0078736A" w:rsidRPr="00612A0A">
        <w:rPr>
          <w:rFonts w:ascii="Arial" w:hAnsi="Arial" w:cs="Arial"/>
          <w:bCs/>
          <w:sz w:val="24"/>
          <w:szCs w:val="24"/>
          <w:lang w:val="uk-UA"/>
        </w:rPr>
        <w:t xml:space="preserve">Після визначення переможця йому буде надіслано лист  протягом 5 днів після завершення конкурсу. </w:t>
      </w:r>
    </w:p>
    <w:p w:rsidR="0078736A" w:rsidRPr="00612A0A" w:rsidRDefault="0078736A" w:rsidP="0078736A">
      <w:pPr>
        <w:spacing w:line="240" w:lineRule="auto"/>
        <w:ind w:left="-284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C728E5" w:rsidRPr="00612A0A" w:rsidRDefault="00C728E5" w:rsidP="009B55FE">
      <w:pPr>
        <w:spacing w:after="120"/>
        <w:rPr>
          <w:rFonts w:ascii="Arial" w:hAnsi="Arial" w:cs="Arial"/>
          <w:snapToGrid w:val="0"/>
          <w:sz w:val="24"/>
          <w:szCs w:val="24"/>
          <w:lang w:val="uk-UA"/>
        </w:rPr>
      </w:pPr>
    </w:p>
    <w:sectPr w:rsidR="00C728E5" w:rsidRPr="0061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3405" w:rsidRDefault="002F3405" w:rsidP="009B55FE">
      <w:pPr>
        <w:spacing w:after="0" w:line="240" w:lineRule="auto"/>
      </w:pPr>
      <w:r>
        <w:separator/>
      </w:r>
    </w:p>
  </w:endnote>
  <w:endnote w:type="continuationSeparator" w:id="0">
    <w:p w:rsidR="002F3405" w:rsidRDefault="002F3405" w:rsidP="009B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3405" w:rsidRDefault="002F3405" w:rsidP="009B55FE">
      <w:pPr>
        <w:spacing w:after="0" w:line="240" w:lineRule="auto"/>
      </w:pPr>
      <w:r>
        <w:separator/>
      </w:r>
    </w:p>
  </w:footnote>
  <w:footnote w:type="continuationSeparator" w:id="0">
    <w:p w:rsidR="002F3405" w:rsidRDefault="002F3405" w:rsidP="009B5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659AC"/>
    <w:multiLevelType w:val="multilevel"/>
    <w:tmpl w:val="DFC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24018"/>
    <w:multiLevelType w:val="multilevel"/>
    <w:tmpl w:val="0D524018"/>
    <w:lvl w:ilvl="0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5D98"/>
    <w:multiLevelType w:val="multilevel"/>
    <w:tmpl w:val="1E375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54072"/>
    <w:multiLevelType w:val="multilevel"/>
    <w:tmpl w:val="22154072"/>
    <w:lvl w:ilvl="0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651FB"/>
    <w:multiLevelType w:val="hybridMultilevel"/>
    <w:tmpl w:val="E0303994"/>
    <w:lvl w:ilvl="0" w:tplc="20000005">
      <w:start w:val="1"/>
      <w:numFmt w:val="bullet"/>
      <w:lvlText w:val=""/>
      <w:lvlJc w:val="left"/>
      <w:pPr>
        <w:ind w:left="810" w:hanging="570"/>
      </w:pPr>
      <w:rPr>
        <w:rFonts w:ascii="Wingdings" w:hAnsi="Wingdings" w:hint="default"/>
      </w:rPr>
    </w:lvl>
    <w:lvl w:ilvl="1" w:tplc="5936CDD4">
      <w:numFmt w:val="bullet"/>
      <w:lvlText w:val="-"/>
      <w:lvlJc w:val="left"/>
      <w:pPr>
        <w:ind w:left="1320" w:hanging="360"/>
      </w:pPr>
      <w:rPr>
        <w:rFonts w:ascii="Calibri" w:eastAsiaTheme="minorHAnsi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54824081"/>
    <w:multiLevelType w:val="multilevel"/>
    <w:tmpl w:val="5482408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D25E1"/>
    <w:multiLevelType w:val="hybridMultilevel"/>
    <w:tmpl w:val="A134C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E3C3B"/>
    <w:multiLevelType w:val="hybridMultilevel"/>
    <w:tmpl w:val="AA7CF5CE"/>
    <w:lvl w:ilvl="0" w:tplc="2000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6E2257E8"/>
    <w:multiLevelType w:val="multilevel"/>
    <w:tmpl w:val="6E2257E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F1F83"/>
    <w:multiLevelType w:val="multilevel"/>
    <w:tmpl w:val="7ADF1F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01B"/>
    <w:rsid w:val="0006068D"/>
    <w:rsid w:val="000A474F"/>
    <w:rsid w:val="00107DF1"/>
    <w:rsid w:val="001834BA"/>
    <w:rsid w:val="00202D3D"/>
    <w:rsid w:val="0022087B"/>
    <w:rsid w:val="00231EFC"/>
    <w:rsid w:val="00254C4F"/>
    <w:rsid w:val="002F001B"/>
    <w:rsid w:val="002F3405"/>
    <w:rsid w:val="002F375C"/>
    <w:rsid w:val="003F3B08"/>
    <w:rsid w:val="004E1DD8"/>
    <w:rsid w:val="00542D5E"/>
    <w:rsid w:val="00554EA5"/>
    <w:rsid w:val="005E0D25"/>
    <w:rsid w:val="00604BE7"/>
    <w:rsid w:val="00612A0A"/>
    <w:rsid w:val="006F190A"/>
    <w:rsid w:val="007322E4"/>
    <w:rsid w:val="007376B2"/>
    <w:rsid w:val="0078551B"/>
    <w:rsid w:val="0078736A"/>
    <w:rsid w:val="007A0D42"/>
    <w:rsid w:val="007B40E3"/>
    <w:rsid w:val="007C1366"/>
    <w:rsid w:val="007C1A15"/>
    <w:rsid w:val="007C77C3"/>
    <w:rsid w:val="008E44D9"/>
    <w:rsid w:val="0096595A"/>
    <w:rsid w:val="009A2996"/>
    <w:rsid w:val="009B55FE"/>
    <w:rsid w:val="00A8214D"/>
    <w:rsid w:val="00AA13E9"/>
    <w:rsid w:val="00AA7A9D"/>
    <w:rsid w:val="00B40381"/>
    <w:rsid w:val="00B86E94"/>
    <w:rsid w:val="00B954B1"/>
    <w:rsid w:val="00BA1911"/>
    <w:rsid w:val="00BB0C59"/>
    <w:rsid w:val="00BD4515"/>
    <w:rsid w:val="00C1577B"/>
    <w:rsid w:val="00C23554"/>
    <w:rsid w:val="00C728E5"/>
    <w:rsid w:val="00CA1C3B"/>
    <w:rsid w:val="00CE2E46"/>
    <w:rsid w:val="00D25445"/>
    <w:rsid w:val="00D618FB"/>
    <w:rsid w:val="00DC7A37"/>
    <w:rsid w:val="00E41255"/>
    <w:rsid w:val="00E616E1"/>
    <w:rsid w:val="00E971C8"/>
    <w:rsid w:val="00EE0484"/>
    <w:rsid w:val="00F04EBE"/>
    <w:rsid w:val="00F37CCB"/>
    <w:rsid w:val="00F94010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79E7C-CCE4-4CD9-8ABF-C3A1D4A3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1B"/>
    <w:pPr>
      <w:spacing w:line="252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2E4"/>
    <w:rPr>
      <w:rFonts w:ascii="Segoe UI" w:hAnsi="Segoe UI" w:cs="Segoe UI"/>
      <w:sz w:val="18"/>
      <w:szCs w:val="1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A82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214D"/>
    <w:rPr>
      <w:rFonts w:ascii="Courier New" w:eastAsia="Times New Roman" w:hAnsi="Courier New" w:cs="Courier New"/>
      <w:sz w:val="20"/>
      <w:szCs w:val="20"/>
      <w:lang w:val="en-US"/>
    </w:rPr>
  </w:style>
  <w:style w:type="paragraph" w:styleId="a5">
    <w:name w:val="List Paragraph"/>
    <w:basedOn w:val="a"/>
    <w:link w:val="a6"/>
    <w:uiPriority w:val="34"/>
    <w:qFormat/>
    <w:rsid w:val="00A8214D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qFormat/>
    <w:locked/>
    <w:rsid w:val="00A8214D"/>
    <w:rPr>
      <w:rFonts w:ascii="Calibri" w:hAnsi="Calibri" w:cs="Calibri"/>
      <w:lang w:val="en-US"/>
    </w:rPr>
  </w:style>
  <w:style w:type="table" w:styleId="a7">
    <w:name w:val="Table Grid"/>
    <w:basedOn w:val="a1"/>
    <w:uiPriority w:val="59"/>
    <w:rsid w:val="00254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9B55FE"/>
  </w:style>
  <w:style w:type="character" w:styleId="a8">
    <w:name w:val="footnote reference"/>
    <w:basedOn w:val="a0"/>
    <w:uiPriority w:val="99"/>
    <w:semiHidden/>
    <w:unhideWhenUsed/>
    <w:rsid w:val="009B55FE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9B55F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B55FE"/>
    <w:rPr>
      <w:rFonts w:ascii="Calibri" w:hAnsi="Calibri" w:cs="Calibri"/>
      <w:sz w:val="20"/>
      <w:szCs w:val="20"/>
      <w:lang w:val="en-US"/>
    </w:rPr>
  </w:style>
  <w:style w:type="paragraph" w:styleId="ab">
    <w:name w:val="Normal (Web)"/>
    <w:basedOn w:val="a"/>
    <w:uiPriority w:val="99"/>
    <w:semiHidden/>
    <w:unhideWhenUsed/>
    <w:rsid w:val="00FF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78736A"/>
    <w:rPr>
      <w:color w:val="0563C1" w:themeColor="hyperlink"/>
      <w:u w:val="single"/>
    </w:rPr>
  </w:style>
  <w:style w:type="paragraph" w:customStyle="1" w:styleId="ad">
    <w:name w:val="Другое"/>
    <w:basedOn w:val="a"/>
    <w:qFormat/>
    <w:rsid w:val="007C1A15"/>
    <w:pPr>
      <w:widowControl w:val="0"/>
      <w:suppressAutoHyphens/>
      <w:spacing w:after="260" w:line="276" w:lineRule="auto"/>
      <w:ind w:firstLine="40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wcu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Анна Василівна</dc:creator>
  <cp:keywords/>
  <dc:description/>
  <cp:lastModifiedBy>Дяченко Анна Василівна</cp:lastModifiedBy>
  <cp:revision>2</cp:revision>
  <dcterms:created xsi:type="dcterms:W3CDTF">2024-09-18T10:05:00Z</dcterms:created>
  <dcterms:modified xsi:type="dcterms:W3CDTF">2024-09-18T10:05:00Z</dcterms:modified>
</cp:coreProperties>
</file>